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4CCD" w:rsidRDefault="00C70959" w:rsidP="003336BB">
      <w:pPr>
        <w:rPr>
          <w:rStyle w:val="Absatz-Standardschriftart1"/>
          <w:b/>
          <w:color w:val="009EE0"/>
          <w:szCs w:val="20"/>
        </w:rPr>
      </w:pPr>
      <w:r>
        <w:rPr>
          <w:noProof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965C7" wp14:editId="2AB2448F">
                <wp:simplePos x="0" y="0"/>
                <wp:positionH relativeFrom="page">
                  <wp:posOffset>861060</wp:posOffset>
                </wp:positionH>
                <wp:positionV relativeFrom="paragraph">
                  <wp:posOffset>1744980</wp:posOffset>
                </wp:positionV>
                <wp:extent cx="5433060" cy="2004060"/>
                <wp:effectExtent l="0" t="0" r="0" b="1524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04" w:rsidRPr="00A07FE6" w:rsidRDefault="00BF58DF" w:rsidP="00192DCF">
                            <w:pPr>
                              <w:spacing w:after="0" w:line="880" w:lineRule="exact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07FE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Ents</w:t>
                            </w:r>
                            <w:r w:rsidR="00A07FE6" w:rsidRPr="00A07FE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tehungsbetriebe</w:t>
                            </w:r>
                            <w:r w:rsidRPr="00A07FE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, Lager- und Um</w:t>
                            </w:r>
                            <w:r w:rsidR="00A07FE6" w:rsidRPr="00A07FE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schlagplätze</w:t>
                            </w:r>
                            <w:r w:rsidRPr="00A07FE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außerhalb der 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67.8pt;margin-top:137.4pt;width:427.8pt;height:157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" filled="f" stroked="f">
                <v:textbox inset="0,,,0">
                  <w:txbxContent>
                    <w:p w:rsidR="004A2B04" w:rsidRPr="00A07FE6" w:rsidRDefault="00BF58DF" w:rsidP="00192DCF">
                      <w:pPr>
                        <w:spacing w:after="0" w:line="880" w:lineRule="exact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07FE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Ents</w:t>
                      </w:r>
                      <w:r w:rsidR="00A07FE6" w:rsidRPr="00A07FE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tehungsbetriebe</w:t>
                      </w:r>
                      <w:r w:rsidRPr="00A07FE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, Lager- und Um</w:t>
                      </w:r>
                      <w:r w:rsidR="00A07FE6" w:rsidRPr="00A07FE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schlagplätze</w:t>
                      </w:r>
                      <w:r w:rsidRPr="00A07FE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außerhalb der EU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53AD">
        <w:rPr>
          <w:noProof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CDD72" wp14:editId="66C81A6E">
                <wp:simplePos x="0" y="0"/>
                <wp:positionH relativeFrom="page">
                  <wp:posOffset>864235</wp:posOffset>
                </wp:positionH>
                <wp:positionV relativeFrom="paragraph">
                  <wp:posOffset>4003040</wp:posOffset>
                </wp:positionV>
                <wp:extent cx="5715000" cy="68580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04" w:rsidRPr="00BF58DF" w:rsidRDefault="00BF58DF" w:rsidP="00A1291D">
                            <w:pPr>
                              <w:spacing w:after="0" w:line="800" w:lineRule="exact"/>
                              <w:rPr>
                                <w:b/>
                                <w:color w:val="009EE0"/>
                                <w:sz w:val="36"/>
                                <w:szCs w:val="36"/>
                              </w:rPr>
                            </w:pPr>
                            <w:r w:rsidRPr="00BF58DF">
                              <w:rPr>
                                <w:b/>
                                <w:color w:val="009EE0"/>
                                <w:sz w:val="36"/>
                                <w:szCs w:val="36"/>
                              </w:rPr>
                              <w:t xml:space="preserve">Erläuterungen zur </w:t>
                            </w:r>
                            <w:r w:rsidR="00A07FE6">
                              <w:rPr>
                                <w:b/>
                                <w:color w:val="009EE0"/>
                                <w:sz w:val="36"/>
                                <w:szCs w:val="36"/>
                              </w:rPr>
                              <w:t>Kontrolle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68.05pt;margin-top:315.2pt;width:45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" filled="f" stroked="f">
                <v:textbox inset="0,,,0">
                  <w:txbxContent>
                    <w:p w:rsidR="004A2B04" w:rsidRPr="00BF58DF" w:rsidRDefault="00BF58DF" w:rsidP="00A1291D">
                      <w:pPr>
                        <w:spacing w:after="0" w:line="800" w:lineRule="exact"/>
                        <w:rPr>
                          <w:b/>
                          <w:color w:val="009EE0"/>
                          <w:sz w:val="36"/>
                          <w:szCs w:val="36"/>
                        </w:rPr>
                      </w:pPr>
                      <w:r w:rsidRPr="00BF58DF">
                        <w:rPr>
                          <w:b/>
                          <w:color w:val="009EE0"/>
                          <w:sz w:val="36"/>
                          <w:szCs w:val="36"/>
                        </w:rPr>
                        <w:t xml:space="preserve">Erläuterungen zur </w:t>
                      </w:r>
                      <w:r w:rsidR="00A07FE6">
                        <w:rPr>
                          <w:b/>
                          <w:color w:val="009EE0"/>
                          <w:sz w:val="36"/>
                          <w:szCs w:val="36"/>
                        </w:rPr>
                        <w:t>Kontrolle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D14FD">
        <w:rPr>
          <w:noProof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ADAC2" wp14:editId="2697146D">
                <wp:simplePos x="0" y="0"/>
                <wp:positionH relativeFrom="page">
                  <wp:posOffset>864235</wp:posOffset>
                </wp:positionH>
                <wp:positionV relativeFrom="paragraph">
                  <wp:posOffset>7932420</wp:posOffset>
                </wp:positionV>
                <wp:extent cx="5715000" cy="685800"/>
                <wp:effectExtent l="0" t="0" r="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04" w:rsidRPr="00ED14FD" w:rsidRDefault="004A2B04" w:rsidP="00A1291D">
                            <w:pPr>
                              <w:spacing w:after="0" w:line="800" w:lineRule="exact"/>
                              <w:rPr>
                                <w:color w:val="009EE0"/>
                              </w:rPr>
                            </w:pPr>
                            <w:r w:rsidRPr="00FC53AD">
                              <w:rPr>
                                <w:color w:val="009EE0"/>
                              </w:rPr>
                              <w:t>REDcert – Ihr Partner für Nachhaltigkeitszertifizierung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margin-left:68.05pt;margin-top:624.6pt;width:45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" filled="f" stroked="f">
                <v:textbox inset="0,,,0">
                  <w:txbxContent>
                    <w:p w:rsidR="004A2B04" w:rsidRPr="00ED14FD" w:rsidRDefault="004A2B04" w:rsidP="00A1291D">
                      <w:pPr>
                        <w:spacing w:after="0" w:line="800" w:lineRule="exact"/>
                        <w:rPr>
                          <w:color w:val="009EE0"/>
                        </w:rPr>
                      </w:pPr>
                      <w:r w:rsidRPr="00FC53AD">
                        <w:rPr>
                          <w:color w:val="009EE0"/>
                        </w:rPr>
                        <w:t>REDcert – Ihr Partner für Nachhaltigkeitszertifizierung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7E08">
        <w:rPr>
          <w:noProof/>
          <w:sz w:val="20"/>
          <w:szCs w:val="18"/>
          <w:lang w:eastAsia="de-DE"/>
        </w:rPr>
        <w:drawing>
          <wp:anchor distT="0" distB="0" distL="114300" distR="114300" simplePos="0" relativeHeight="251666432" behindDoc="0" locked="0" layoutInCell="1" allowOverlap="1" wp14:anchorId="0CF76C2C" wp14:editId="0AFD8DE8">
            <wp:simplePos x="0" y="0"/>
            <wp:positionH relativeFrom="page">
              <wp:posOffset>0</wp:posOffset>
            </wp:positionH>
            <wp:positionV relativeFrom="page">
              <wp:posOffset>2988310</wp:posOffset>
            </wp:positionV>
            <wp:extent cx="7050024" cy="4724400"/>
            <wp:effectExtent l="0" t="0" r="1143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enelement_G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024" cy="472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50">
        <w:rPr>
          <w:noProof/>
          <w:sz w:val="20"/>
          <w:szCs w:val="18"/>
          <w:lang w:eastAsia="de-DE"/>
        </w:rPr>
        <w:drawing>
          <wp:anchor distT="0" distB="0" distL="114300" distR="114300" simplePos="0" relativeHeight="251665408" behindDoc="0" locked="0" layoutInCell="1" allowOverlap="1" wp14:anchorId="3C39C06B" wp14:editId="0E97991F">
            <wp:simplePos x="0" y="0"/>
            <wp:positionH relativeFrom="page">
              <wp:posOffset>5220970</wp:posOffset>
            </wp:positionH>
            <wp:positionV relativeFrom="page">
              <wp:posOffset>791845</wp:posOffset>
            </wp:positionV>
            <wp:extent cx="1840865" cy="1194435"/>
            <wp:effectExtent l="0" t="0" r="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ce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194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CD">
        <w:rPr>
          <w:b/>
          <w:noProof/>
          <w:color w:val="009EE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A0257" wp14:editId="0E98B9C5">
                <wp:simplePos x="0" y="0"/>
                <wp:positionH relativeFrom="column">
                  <wp:posOffset>-927100</wp:posOffset>
                </wp:positionH>
                <wp:positionV relativeFrom="paragraph">
                  <wp:posOffset>-2125980</wp:posOffset>
                </wp:positionV>
                <wp:extent cx="7023735" cy="10746740"/>
                <wp:effectExtent l="0" t="0" r="0" b="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735" cy="1074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B04" w:rsidRDefault="004A2B04" w:rsidP="00505A6F"/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  <w:p w:rsidR="004A2B04" w:rsidRDefault="004A2B04" w:rsidP="00505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9" style="position:absolute;margin-left:-73pt;margin-top:-167.4pt;width:553.05pt;height:8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" filled="f" stroked="f">
                <v:textbox>
                  <w:txbxContent>
                    <w:p w:rsidR="004A2B04" w:rsidRDefault="004A2B04" w:rsidP="00505A6F"/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  <w:p w:rsidR="004A2B04" w:rsidRDefault="004A2B04" w:rsidP="00505A6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14F60" w:rsidRDefault="00914F60">
      <w:pPr>
        <w:pStyle w:val="Aufzaehlung1"/>
        <w:rPr>
          <w:rStyle w:val="Absatz-Standardschriftart1"/>
          <w:b/>
        </w:rPr>
        <w:sectPr w:rsidR="00914F60" w:rsidSect="00F22C75">
          <w:headerReference w:type="default" r:id="rId11"/>
          <w:pgSz w:w="11900" w:h="16840"/>
          <w:pgMar w:top="2812" w:right="1021" w:bottom="851" w:left="1361" w:header="851" w:footer="709" w:gutter="0"/>
          <w:cols w:space="708"/>
        </w:sectPr>
      </w:pPr>
    </w:p>
    <w:p w:rsidR="00B46991" w:rsidRPr="00B46991" w:rsidRDefault="00B46991">
      <w:pPr>
        <w:pStyle w:val="Aufzaehlung1"/>
        <w:rPr>
          <w:rStyle w:val="Absatz-Standardschriftart1"/>
          <w:b/>
        </w:rPr>
      </w:pPr>
      <w:r w:rsidRPr="00B46991">
        <w:rPr>
          <w:rStyle w:val="Absatz-Standardschriftart1"/>
          <w:b/>
        </w:rPr>
        <w:lastRenderedPageBreak/>
        <w:t>Einleitung</w:t>
      </w:r>
    </w:p>
    <w:p w:rsidR="008D21B7" w:rsidRDefault="008D21B7">
      <w:pPr>
        <w:pStyle w:val="Aufzaehlung1"/>
        <w:rPr>
          <w:rStyle w:val="Absatz-Standardschriftart1"/>
        </w:rPr>
      </w:pPr>
      <w:r w:rsidRPr="008D21B7">
        <w:rPr>
          <w:rStyle w:val="Absatz-Standardschriftart1"/>
        </w:rPr>
        <w:t>Biokraft- und -brennstoffe aus Abfall und Reststoffen sc</w:t>
      </w:r>
      <w:r>
        <w:rPr>
          <w:rStyle w:val="Absatz-Standardschriftart1"/>
        </w:rPr>
        <w:t>hneiden im Vergleich zu Anbau</w:t>
      </w:r>
      <w:r w:rsidR="00892C0E">
        <w:rPr>
          <w:rStyle w:val="Absatz-Standardschriftart1"/>
        </w:rPr>
        <w:t>-</w:t>
      </w:r>
      <w:r>
        <w:rPr>
          <w:rStyle w:val="Absatz-Standardschriftart1"/>
        </w:rPr>
        <w:t>bi</w:t>
      </w:r>
      <w:r w:rsidRPr="008D21B7">
        <w:rPr>
          <w:rStyle w:val="Absatz-Standardschriftart1"/>
        </w:rPr>
        <w:t>omasse bei der Treibhausgasbilanzierung besser ab, weil die Lebenszyklusemissionen bis zum Prozess der Erfassung mit „Null“ angenommen w</w:t>
      </w:r>
      <w:r>
        <w:rPr>
          <w:rStyle w:val="Absatz-Standardschriftart1"/>
        </w:rPr>
        <w:t xml:space="preserve">erden können. Diese Vorteile im </w:t>
      </w:r>
      <w:r w:rsidRPr="008D21B7">
        <w:rPr>
          <w:rStyle w:val="Absatz-Standardschriftart1"/>
        </w:rPr>
        <w:t>Markt der Biokraft- und -brennstoffe bergen allerdings a</w:t>
      </w:r>
      <w:r>
        <w:rPr>
          <w:rStyle w:val="Absatz-Standardschriftart1"/>
        </w:rPr>
        <w:t>uch ein höheres Risiko des Miss</w:t>
      </w:r>
      <w:r w:rsidRPr="008D21B7">
        <w:rPr>
          <w:rStyle w:val="Absatz-Standardschriftart1"/>
        </w:rPr>
        <w:t>brauchs und der ungerechtfertigten Vorteilnahme. Daher hat REDcert sowohl an die Sammlung bzw. Erfassung als auch an die vorgelagerte Entstehung von Abfällen und Reststoffen sowie an die Nachweisführung dieser Eigen</w:t>
      </w:r>
      <w:r>
        <w:rPr>
          <w:rStyle w:val="Absatz-Standardschriftart1"/>
        </w:rPr>
        <w:t>schaft zusätzliche, über die ge</w:t>
      </w:r>
      <w:r w:rsidRPr="008D21B7">
        <w:rPr>
          <w:rStyle w:val="Absatz-Standardschriftart1"/>
        </w:rPr>
        <w:t>setzlichen Auflagen hinausgehende Anforderungen gestellt. Beim Import von Abfall und Reststoffen aus Nicht-EU-Mitgliedsstaaten äußert sich dies z.B. in Form einer intensiveren Kon</w:t>
      </w:r>
      <w:r w:rsidR="00D07519">
        <w:rPr>
          <w:rStyle w:val="Absatz-Standardschriftart1"/>
        </w:rPr>
        <w:t>trolle von Entstehungsbetrieben sowie</w:t>
      </w:r>
      <w:r w:rsidRPr="008D21B7">
        <w:rPr>
          <w:rStyle w:val="Absatz-Standardschriftart1"/>
        </w:rPr>
        <w:t xml:space="preserve"> Lager- und Umschlagplätzen.</w:t>
      </w:r>
    </w:p>
    <w:p w:rsidR="008D21B7" w:rsidRDefault="008D21B7">
      <w:pPr>
        <w:pStyle w:val="Aufzaehlung1"/>
        <w:rPr>
          <w:rStyle w:val="Absatz-Standardschriftart1"/>
        </w:rPr>
      </w:pPr>
    </w:p>
    <w:p w:rsidR="008D21B7" w:rsidRPr="00D07519" w:rsidRDefault="00D07519">
      <w:pPr>
        <w:pStyle w:val="Aufzaehlung1"/>
        <w:rPr>
          <w:rStyle w:val="Absatz-Standardschriftart1"/>
          <w:b/>
        </w:rPr>
      </w:pPr>
      <w:r w:rsidRPr="00D07519">
        <w:rPr>
          <w:rStyle w:val="Absatz-Standardschriftart1"/>
          <w:b/>
        </w:rPr>
        <w:t>Dokumentierte Nachweisführung</w:t>
      </w:r>
    </w:p>
    <w:p w:rsidR="00D07519" w:rsidRPr="00D07519" w:rsidRDefault="005074C9">
      <w:pPr>
        <w:pStyle w:val="Aufzaehlung1"/>
        <w:rPr>
          <w:rStyle w:val="Absatz-Standardschriftart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824B7A2" wp14:editId="43A58C55">
                <wp:simplePos x="0" y="0"/>
                <wp:positionH relativeFrom="page">
                  <wp:posOffset>851535</wp:posOffset>
                </wp:positionH>
                <wp:positionV relativeFrom="page">
                  <wp:posOffset>692785</wp:posOffset>
                </wp:positionV>
                <wp:extent cx="5829300" cy="800100"/>
                <wp:effectExtent l="0" t="0" r="1270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04" w:rsidRPr="0048314A" w:rsidRDefault="004A2B04" w:rsidP="00C70959">
                            <w:pPr>
                              <w:rPr>
                                <w:color w:val="006AB3"/>
                              </w:rPr>
                            </w:pPr>
                            <w:r>
                              <w:rPr>
                                <w:b/>
                                <w:color w:val="006AB3"/>
                              </w:rPr>
                              <w:t xml:space="preserve">Merkblatt zur </w:t>
                            </w:r>
                            <w:r w:rsidR="008E2D84">
                              <w:rPr>
                                <w:b/>
                                <w:color w:val="006AB3"/>
                              </w:rPr>
                              <w:t>Kontrolle</w:t>
                            </w:r>
                            <w:r w:rsidR="006D56A4">
                              <w:rPr>
                                <w:b/>
                                <w:color w:val="006AB3"/>
                              </w:rPr>
                              <w:t xml:space="preserve"> von </w:t>
                            </w:r>
                            <w:r w:rsidR="006D56A4" w:rsidRPr="006D56A4">
                              <w:rPr>
                                <w:b/>
                                <w:color w:val="006AB3"/>
                              </w:rPr>
                              <w:t>Entstehungsbetriebe</w:t>
                            </w:r>
                            <w:r w:rsidR="000C25A0">
                              <w:rPr>
                                <w:b/>
                                <w:color w:val="006AB3"/>
                              </w:rPr>
                              <w:t>n</w:t>
                            </w:r>
                            <w:r w:rsidR="006D56A4" w:rsidRPr="006D56A4">
                              <w:rPr>
                                <w:b/>
                                <w:color w:val="006AB3"/>
                              </w:rPr>
                              <w:t>, Lager- und Umschlagplätze</w:t>
                            </w:r>
                            <w:r w:rsidR="000C25A0">
                              <w:rPr>
                                <w:b/>
                                <w:color w:val="006AB3"/>
                              </w:rPr>
                              <w:t>n</w:t>
                            </w:r>
                            <w:r w:rsidR="006D56A4" w:rsidRPr="006D56A4">
                              <w:rPr>
                                <w:b/>
                                <w:color w:val="006AB3"/>
                              </w:rPr>
                              <w:t xml:space="preserve"> außerhalb der EU</w:t>
                            </w:r>
                          </w:p>
                          <w:p w:rsidR="004A2B04" w:rsidRPr="0048314A" w:rsidRDefault="004A2B04" w:rsidP="005074C9">
                            <w:pPr>
                              <w:rPr>
                                <w:color w:val="006AB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left:0;text-align:left;margin-left:67.05pt;margin-top:54.55pt;width:45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" filled="f" stroked="f">
                <v:textbox inset="0,0,0,0">
                  <w:txbxContent>
                    <w:p w:rsidR="004A2B04" w:rsidRPr="0048314A" w:rsidRDefault="004A2B04" w:rsidP="00C70959">
                      <w:pPr>
                        <w:rPr>
                          <w:color w:val="006AB3"/>
                        </w:rPr>
                      </w:pPr>
                      <w:r>
                        <w:rPr>
                          <w:b/>
                          <w:color w:val="006AB3"/>
                        </w:rPr>
                        <w:t xml:space="preserve">Merkblatt zur </w:t>
                      </w:r>
                      <w:r w:rsidR="008E2D84">
                        <w:rPr>
                          <w:b/>
                          <w:color w:val="006AB3"/>
                        </w:rPr>
                        <w:t>Kontrolle</w:t>
                      </w:r>
                      <w:r w:rsidR="006D56A4">
                        <w:rPr>
                          <w:b/>
                          <w:color w:val="006AB3"/>
                        </w:rPr>
                        <w:t xml:space="preserve"> von </w:t>
                      </w:r>
                      <w:r w:rsidR="006D56A4" w:rsidRPr="006D56A4">
                        <w:rPr>
                          <w:b/>
                          <w:color w:val="006AB3"/>
                        </w:rPr>
                        <w:t>Entstehungsbetriebe</w:t>
                      </w:r>
                      <w:r w:rsidR="000C25A0">
                        <w:rPr>
                          <w:b/>
                          <w:color w:val="006AB3"/>
                        </w:rPr>
                        <w:t>n</w:t>
                      </w:r>
                      <w:r w:rsidR="006D56A4" w:rsidRPr="006D56A4">
                        <w:rPr>
                          <w:b/>
                          <w:color w:val="006AB3"/>
                        </w:rPr>
                        <w:t>, Lager- und Umschlagplätze</w:t>
                      </w:r>
                      <w:r w:rsidR="000C25A0">
                        <w:rPr>
                          <w:b/>
                          <w:color w:val="006AB3"/>
                        </w:rPr>
                        <w:t>n</w:t>
                      </w:r>
                      <w:r w:rsidR="006D56A4" w:rsidRPr="006D56A4">
                        <w:rPr>
                          <w:b/>
                          <w:color w:val="006AB3"/>
                        </w:rPr>
                        <w:t xml:space="preserve"> außerhalb der EU</w:t>
                      </w:r>
                    </w:p>
                    <w:p w:rsidR="004A2B04" w:rsidRPr="0048314A" w:rsidRDefault="004A2B04" w:rsidP="005074C9">
                      <w:pPr>
                        <w:rPr>
                          <w:color w:val="006AB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07519" w:rsidRPr="00D07519">
        <w:rPr>
          <w:rStyle w:val="Absatz-Standardschriftart1"/>
        </w:rPr>
        <w:t>Samm</w:t>
      </w:r>
      <w:r w:rsidR="00995FFB">
        <w:rPr>
          <w:rStyle w:val="Absatz-Standardschriftart1"/>
        </w:rPr>
        <w:t>ler</w:t>
      </w:r>
      <w:r w:rsidR="00D07519" w:rsidRPr="00D07519">
        <w:rPr>
          <w:rStyle w:val="Absatz-Standardschriftart1"/>
        </w:rPr>
        <w:t>, bei denen Abfall und Reststoffe aus Ni</w:t>
      </w:r>
      <w:r w:rsidR="008E2D84">
        <w:rPr>
          <w:rStyle w:val="Absatz-Standardschriftart1"/>
        </w:rPr>
        <w:t>cht-EU-Mitgliedsstaaten zur Wei</w:t>
      </w:r>
      <w:r w:rsidR="00D07519" w:rsidRPr="00D07519">
        <w:rPr>
          <w:rStyle w:val="Absatz-Standardschriftart1"/>
        </w:rPr>
        <w:t>ter</w:t>
      </w:r>
      <w:r w:rsidR="004F5CD2">
        <w:rPr>
          <w:rStyle w:val="Absatz-Standardschriftart1"/>
        </w:rPr>
        <w:softHyphen/>
      </w:r>
      <w:r w:rsidR="00D07519" w:rsidRPr="00D07519">
        <w:rPr>
          <w:rStyle w:val="Absatz-Standardschriftart1"/>
        </w:rPr>
        <w:t xml:space="preserve">verarbeitung in der Biokraft- und </w:t>
      </w:r>
      <w:r w:rsidR="00164401">
        <w:rPr>
          <w:rStyle w:val="Absatz-Standardschriftart1"/>
        </w:rPr>
        <w:t>-</w:t>
      </w:r>
      <w:r w:rsidR="00D07519" w:rsidRPr="00D07519">
        <w:rPr>
          <w:rStyle w:val="Absatz-Standardschriftart1"/>
        </w:rPr>
        <w:t>brennstoffkette er</w:t>
      </w:r>
      <w:r w:rsidR="008E2D84">
        <w:rPr>
          <w:rStyle w:val="Absatz-Standardschriftart1"/>
        </w:rPr>
        <w:t>fasst werden, müssen sicherstel</w:t>
      </w:r>
      <w:r w:rsidR="00D07519" w:rsidRPr="00D07519">
        <w:rPr>
          <w:rStyle w:val="Absatz-Standardschriftart1"/>
        </w:rPr>
        <w:t>len, dass die Biomasse, die sie von Entstehungsbetrieben aus Nicht-EU-Mitgliedssta</w:t>
      </w:r>
      <w:r w:rsidR="00995FFB">
        <w:rPr>
          <w:rStyle w:val="Absatz-Standardschriftart1"/>
        </w:rPr>
        <w:t>a</w:t>
      </w:r>
      <w:r w:rsidR="00D07519" w:rsidRPr="00D07519">
        <w:rPr>
          <w:rStyle w:val="Absatz-Standardschriftart1"/>
        </w:rPr>
        <w:t xml:space="preserve">ten als Abfall und Reststoffe erhalten, gemäß Mitteilung 2010/C 160/02 Abschnitt 5.2 </w:t>
      </w:r>
      <w:r w:rsidR="00164401">
        <w:rPr>
          <w:rStyle w:val="Absatz-Standardschriftart1"/>
        </w:rPr>
        <w:t xml:space="preserve">der Europäischen Kommission </w:t>
      </w:r>
      <w:r w:rsidR="00D07519" w:rsidRPr="00D07519">
        <w:rPr>
          <w:rStyle w:val="Absatz-Standardschriftart1"/>
        </w:rPr>
        <w:t>richtig deklariert ist.</w:t>
      </w:r>
    </w:p>
    <w:p w:rsidR="00D07519" w:rsidRPr="00D07519" w:rsidRDefault="00D07519" w:rsidP="009B42FC">
      <w:pPr>
        <w:pStyle w:val="Aufzaehlung1"/>
        <w:spacing w:after="120"/>
        <w:contextualSpacing w:val="0"/>
        <w:rPr>
          <w:rStyle w:val="Absatz-Standardschriftart1"/>
        </w:rPr>
      </w:pPr>
      <w:r w:rsidRPr="00D07519">
        <w:rPr>
          <w:rStyle w:val="Absatz-Standardschriftart1"/>
        </w:rPr>
        <w:t>Entstehungsbetriebe, die Abfal</w:t>
      </w:r>
      <w:r w:rsidR="00164401">
        <w:rPr>
          <w:rStyle w:val="Absatz-Standardschriftart1"/>
        </w:rPr>
        <w:t>l oder Reststoffe an Sammel-,</w:t>
      </w:r>
      <w:r w:rsidRPr="00D07519">
        <w:rPr>
          <w:rStyle w:val="Absatz-Standardschriftart1"/>
        </w:rPr>
        <w:t xml:space="preserve"> Aufbereitungs- und/oder Verarbeitungsbetriebe abgeben, sind verpflichtet</w:t>
      </w:r>
      <w:r w:rsidR="00995FFB">
        <w:rPr>
          <w:rStyle w:val="Absatz-Standardschriftart1"/>
        </w:rPr>
        <w:t>,</w:t>
      </w:r>
      <w:r w:rsidRPr="00D07519">
        <w:rPr>
          <w:rStyle w:val="Absatz-Standardschriftart1"/>
        </w:rPr>
        <w:t xml:space="preserve"> dem Empfänger der Ware in jedem Fall zu bestätigen, dass es sich bei dem gelieferten Abfall bzw. Reststoff ausschließlich um Biomasse im Sinne der Richtlinie 2009/28/EG handelt. H</w:t>
      </w:r>
      <w:r w:rsidR="008E2D84">
        <w:rPr>
          <w:rStyle w:val="Absatz-Standardschriftart1"/>
        </w:rPr>
        <w:t xml:space="preserve">ierfür ist der REDcert-Vordruck </w:t>
      </w:r>
      <w:r w:rsidRPr="00D07519">
        <w:rPr>
          <w:rStyle w:val="Absatz-Standardschriftart1"/>
        </w:rPr>
        <w:t>„Selbsterklärung für die Lieferung von Abfall bzw. Reststof</w:t>
      </w:r>
      <w:r w:rsidR="008E2D84">
        <w:rPr>
          <w:rStyle w:val="Absatz-Standardschriftart1"/>
        </w:rPr>
        <w:t>fen für die Biokraftstoffproduk</w:t>
      </w:r>
      <w:r w:rsidRPr="00D07519">
        <w:rPr>
          <w:rStyle w:val="Absatz-Standardschriftart1"/>
        </w:rPr>
        <w:t>tion“ auszufüllen und dem Empfänger der Biomasse zu übergeben.</w:t>
      </w:r>
    </w:p>
    <w:p w:rsidR="00D07519" w:rsidRPr="00D07519" w:rsidRDefault="00D07519">
      <w:pPr>
        <w:pStyle w:val="Aufzaehlung1"/>
        <w:rPr>
          <w:rStyle w:val="Absatz-Standardschriftart1"/>
        </w:rPr>
      </w:pPr>
      <w:r w:rsidRPr="00D07519">
        <w:rPr>
          <w:rStyle w:val="Absatz-Standardschriftart1"/>
        </w:rPr>
        <w:t>Dieser Vordruck ist für jede einzelne Lieferung zu verwenden. Wenn die Lieferungen auf Grundlage eines Vertrages bzw. Kontraktes vereinbart wurden, ist die Kontrakt- bzw. Vertragsnummer auf der Selbsterklärung verpflichtend anzugeben. Weiterhin anzugeben sind mindestens:</w:t>
      </w:r>
    </w:p>
    <w:p w:rsidR="00D07519" w:rsidRPr="00D07519" w:rsidRDefault="00D07519">
      <w:pPr>
        <w:pStyle w:val="Aufzaehlung1"/>
        <w:rPr>
          <w:rStyle w:val="Absatz-Standardschriftart1"/>
        </w:rPr>
      </w:pPr>
    </w:p>
    <w:p w:rsidR="00D07519" w:rsidRPr="00D07519" w:rsidRDefault="00D07519">
      <w:pPr>
        <w:pStyle w:val="Aufzaehlung1"/>
        <w:numPr>
          <w:ilvl w:val="0"/>
          <w:numId w:val="14"/>
        </w:numPr>
        <w:rPr>
          <w:rStyle w:val="Absatz-Standardschriftart1"/>
        </w:rPr>
      </w:pPr>
      <w:r w:rsidRPr="00D07519">
        <w:rPr>
          <w:rStyle w:val="Absatz-Standardschriftart1"/>
        </w:rPr>
        <w:t>die Bezeichnung oder der Abfall-Code und, sofern relevant, die Kategorie für tierische Fette usw.,</w:t>
      </w:r>
    </w:p>
    <w:p w:rsidR="00D07519" w:rsidRPr="00D07519" w:rsidRDefault="00D07519">
      <w:pPr>
        <w:pStyle w:val="Aufzaehlung1"/>
        <w:numPr>
          <w:ilvl w:val="0"/>
          <w:numId w:val="14"/>
        </w:numPr>
        <w:rPr>
          <w:rStyle w:val="Absatz-Standardschriftart1"/>
        </w:rPr>
      </w:pPr>
      <w:r w:rsidRPr="00D07519">
        <w:rPr>
          <w:rStyle w:val="Absatz-Standardschriftart1"/>
        </w:rPr>
        <w:t>der Prozess, aus dem der Abfall und Reststoff entsteht,</w:t>
      </w:r>
    </w:p>
    <w:p w:rsidR="00D07519" w:rsidRPr="00D07519" w:rsidRDefault="00D07519">
      <w:pPr>
        <w:pStyle w:val="Aufzaehlung1"/>
        <w:numPr>
          <w:ilvl w:val="0"/>
          <w:numId w:val="14"/>
        </w:numPr>
        <w:rPr>
          <w:rStyle w:val="Absatz-Standardschriftart1"/>
        </w:rPr>
      </w:pPr>
      <w:r w:rsidRPr="00D07519">
        <w:rPr>
          <w:rStyle w:val="Absatz-Standardschriftart1"/>
        </w:rPr>
        <w:t>das Ursprungsland der Abfall und Reststoffe.</w:t>
      </w:r>
    </w:p>
    <w:p w:rsidR="00D07519" w:rsidRPr="00D07519" w:rsidRDefault="00D07519">
      <w:pPr>
        <w:pStyle w:val="Aufzaehlung1"/>
        <w:rPr>
          <w:rStyle w:val="Absatz-Standardschriftart1"/>
        </w:rPr>
      </w:pPr>
    </w:p>
    <w:p w:rsidR="00D07519" w:rsidRPr="00D07519" w:rsidRDefault="00D07519">
      <w:pPr>
        <w:pStyle w:val="Aufzaehlung1"/>
        <w:rPr>
          <w:rStyle w:val="Absatz-Standardschriftart1"/>
        </w:rPr>
      </w:pPr>
      <w:r w:rsidRPr="00D07519">
        <w:rPr>
          <w:rStyle w:val="Absatz-Standardschriftart1"/>
        </w:rPr>
        <w:t>Der Nicht-EU Entstehungsbetrieb willigt mit Unterschrift auf der Selbsterklärung ein, dass Kontrolleure der anerkannten Zertifizierungsstellen d</w:t>
      </w:r>
      <w:r w:rsidR="003F467D">
        <w:rPr>
          <w:rStyle w:val="Absatz-Standardschriftart1"/>
        </w:rPr>
        <w:t>es REDcert-Systems</w:t>
      </w:r>
      <w:r w:rsidR="00140328">
        <w:rPr>
          <w:rStyle w:val="Absatz-Standardschriftart1"/>
        </w:rPr>
        <w:t>, REDcert-Auditoren</w:t>
      </w:r>
      <w:r w:rsidR="003F467D">
        <w:rPr>
          <w:rStyle w:val="Absatz-Standardschriftart1"/>
        </w:rPr>
        <w:t xml:space="preserve"> </w:t>
      </w:r>
      <w:r w:rsidR="00140328">
        <w:rPr>
          <w:rStyle w:val="Absatz-Standardschriftart1"/>
        </w:rPr>
        <w:t xml:space="preserve">sowie </w:t>
      </w:r>
      <w:r w:rsidR="003F467D">
        <w:rPr>
          <w:rStyle w:val="Absatz-Standardschriftart1"/>
        </w:rPr>
        <w:t>Prüfungs</w:t>
      </w:r>
      <w:r w:rsidRPr="00D07519">
        <w:rPr>
          <w:rStyle w:val="Absatz-Standardschriftart1"/>
        </w:rPr>
        <w:t>befugte der Bundesanstalt für Landwirtschaft und Ernäh</w:t>
      </w:r>
      <w:r w:rsidR="003F467D">
        <w:rPr>
          <w:rStyle w:val="Absatz-Standardschriftart1"/>
        </w:rPr>
        <w:t>rung, sofern ein bilaterales Ab</w:t>
      </w:r>
      <w:r w:rsidRPr="00D07519">
        <w:rPr>
          <w:rStyle w:val="Absatz-Standardschriftart1"/>
        </w:rPr>
        <w:t>kommen zur Durchführung der Kontrolle mit dem</w:t>
      </w:r>
      <w:r w:rsidR="008E2D84">
        <w:rPr>
          <w:rStyle w:val="Absatz-Standardschriftart1"/>
        </w:rPr>
        <w:t xml:space="preserve"> betreffenden Staat existiert, überprü</w:t>
      </w:r>
      <w:r w:rsidRPr="00D07519">
        <w:rPr>
          <w:rStyle w:val="Absatz-Standardschriftart1"/>
        </w:rPr>
        <w:t>fen können, ob die relevanten Anforderungen der Richtlinie 2009/28/EG und des REDcert-</w:t>
      </w:r>
      <w:r w:rsidR="00164401">
        <w:rPr>
          <w:rStyle w:val="Absatz-Standardschriftart1"/>
        </w:rPr>
        <w:t xml:space="preserve">EU </w:t>
      </w:r>
      <w:r w:rsidRPr="00D07519">
        <w:rPr>
          <w:rStyle w:val="Absatz-Standardschriftart1"/>
        </w:rPr>
        <w:t>Systems eingehalten werden.</w:t>
      </w:r>
    </w:p>
    <w:p w:rsidR="00D07519" w:rsidRPr="00D07519" w:rsidRDefault="00D07519">
      <w:pPr>
        <w:pStyle w:val="Aufzaehlung1"/>
        <w:rPr>
          <w:rStyle w:val="Absatz-Standardschriftart1"/>
        </w:rPr>
      </w:pPr>
      <w:r w:rsidRPr="00D07519">
        <w:rPr>
          <w:rStyle w:val="Absatz-Standardschriftart1"/>
        </w:rPr>
        <w:lastRenderedPageBreak/>
        <w:t>Ebenfalls verpflichtend ist eine ordnungsgemäße Dokum</w:t>
      </w:r>
      <w:r w:rsidR="008E2D84">
        <w:rPr>
          <w:rStyle w:val="Absatz-Standardschriftart1"/>
        </w:rPr>
        <w:t>entation (Belegfluss) der Liefe</w:t>
      </w:r>
      <w:r w:rsidRPr="00D07519">
        <w:rPr>
          <w:rStyle w:val="Absatz-Standardschriftart1"/>
        </w:rPr>
        <w:t>rungen, um eine entsprechende Rückverfolgbarkeit jeder entstandenen Menge Abfall und Reststoffe zu ermöglichen, z. B. über:</w:t>
      </w:r>
    </w:p>
    <w:p w:rsidR="00D07519" w:rsidRPr="00D07519" w:rsidRDefault="00D07519">
      <w:pPr>
        <w:pStyle w:val="Aufzaehlung1"/>
        <w:rPr>
          <w:rStyle w:val="Absatz-Standardschriftart1"/>
        </w:rPr>
      </w:pPr>
    </w:p>
    <w:p w:rsidR="00D07519" w:rsidRDefault="00D07519">
      <w:pPr>
        <w:pStyle w:val="Aufzaehlung1"/>
        <w:numPr>
          <w:ilvl w:val="0"/>
          <w:numId w:val="13"/>
        </w:numPr>
        <w:rPr>
          <w:rStyle w:val="Absatz-Standardschriftart1"/>
        </w:rPr>
      </w:pPr>
      <w:r w:rsidRPr="00D07519">
        <w:rPr>
          <w:rStyle w:val="Absatz-Standardschriftart1"/>
        </w:rPr>
        <w:t>Abholscheine,</w:t>
      </w:r>
    </w:p>
    <w:p w:rsidR="008B4486" w:rsidRDefault="008B4486">
      <w:pPr>
        <w:pStyle w:val="Aufzaehlung1"/>
        <w:numPr>
          <w:ilvl w:val="0"/>
          <w:numId w:val="13"/>
        </w:numPr>
        <w:rPr>
          <w:rStyle w:val="Absatz-Standardschriftart1"/>
        </w:rPr>
      </w:pPr>
      <w:r w:rsidRPr="00D07519">
        <w:rPr>
          <w:rStyle w:val="Absatz-Standardschriftart1"/>
        </w:rPr>
        <w:t>Entsorgungsnachweise</w:t>
      </w:r>
      <w:r>
        <w:rPr>
          <w:rStyle w:val="Absatz-Standardschriftart1"/>
        </w:rPr>
        <w:t>,</w:t>
      </w:r>
    </w:p>
    <w:p w:rsidR="008B4486" w:rsidRDefault="008B4486">
      <w:pPr>
        <w:pStyle w:val="Aufzaehlung1"/>
        <w:numPr>
          <w:ilvl w:val="0"/>
          <w:numId w:val="13"/>
        </w:numPr>
        <w:rPr>
          <w:rStyle w:val="Absatz-Standardschriftart1"/>
        </w:rPr>
      </w:pPr>
      <w:r w:rsidRPr="00D07519">
        <w:rPr>
          <w:rStyle w:val="Absatz-Standardschriftart1"/>
        </w:rPr>
        <w:t>Wiegescheine,</w:t>
      </w:r>
    </w:p>
    <w:p w:rsidR="008B4486" w:rsidRPr="00D07519" w:rsidRDefault="008B4486">
      <w:pPr>
        <w:pStyle w:val="Aufzaehlung1"/>
        <w:numPr>
          <w:ilvl w:val="0"/>
          <w:numId w:val="13"/>
        </w:numPr>
        <w:rPr>
          <w:rStyle w:val="Absatz-Standardschriftart1"/>
        </w:rPr>
      </w:pPr>
      <w:r w:rsidRPr="00D07519">
        <w:rPr>
          <w:rStyle w:val="Absatz-Standardschriftart1"/>
        </w:rPr>
        <w:t>Lieferscheine usw.</w:t>
      </w:r>
    </w:p>
    <w:p w:rsidR="00CA7650" w:rsidRDefault="00CA7650">
      <w:pPr>
        <w:pStyle w:val="Aufzaehlung1"/>
        <w:rPr>
          <w:rStyle w:val="Absatz-Standardschriftart1"/>
        </w:rPr>
      </w:pPr>
    </w:p>
    <w:p w:rsidR="00F8695B" w:rsidRDefault="00F8695B">
      <w:pPr>
        <w:pStyle w:val="Aufzaehlung1"/>
        <w:rPr>
          <w:rStyle w:val="Absatz-Standardschriftart1"/>
          <w:b/>
        </w:rPr>
      </w:pPr>
      <w:r w:rsidRPr="00F8695B">
        <w:rPr>
          <w:rStyle w:val="Absatz-Standardschriftart1"/>
          <w:b/>
        </w:rPr>
        <w:t>Kontrolle</w:t>
      </w:r>
      <w:r w:rsidR="006D56A4">
        <w:rPr>
          <w:rStyle w:val="Absatz-Standardschriftart1"/>
          <w:b/>
        </w:rPr>
        <w:t xml:space="preserve"> von</w:t>
      </w:r>
      <w:r w:rsidR="0020523E">
        <w:rPr>
          <w:rStyle w:val="Absatz-Standardschriftart1"/>
          <w:b/>
        </w:rPr>
        <w:t xml:space="preserve"> Entstehungsbetrieben</w:t>
      </w:r>
    </w:p>
    <w:p w:rsidR="0020523E" w:rsidRPr="0020523E" w:rsidRDefault="0020523E" w:rsidP="009B42FC">
      <w:pPr>
        <w:pStyle w:val="Aufzaehlung1"/>
        <w:contextualSpacing w:val="0"/>
        <w:rPr>
          <w:rStyle w:val="Absatz-Standardschriftart1"/>
        </w:rPr>
      </w:pPr>
      <w:r w:rsidRPr="0020523E">
        <w:rPr>
          <w:rStyle w:val="Absatz-Standardschriftart1"/>
        </w:rPr>
        <w:t xml:space="preserve">Entstehungsbetriebe aus Nicht-EU-Mitgliedsstaaten sind generell kontrollpflichtig, d. h. diese Betriebe müssen vor der ersten Lieferung immer eine Erstkontrolle durchlaufen. Jede nachfolgende Kontrolle </w:t>
      </w:r>
      <w:r w:rsidR="004F5CD2">
        <w:rPr>
          <w:rStyle w:val="Absatz-Standardschriftart1"/>
        </w:rPr>
        <w:t xml:space="preserve">(im Rahmen der Re-Zertifizierung des Sammlers) </w:t>
      </w:r>
      <w:r w:rsidRPr="0020523E">
        <w:rPr>
          <w:rStyle w:val="Absatz-Standardschriftart1"/>
        </w:rPr>
        <w:t>erfolgt bei Nicht-EU Entstehungsbetrieben, die mehr als 10 Tonnen Abfälle oder Reststoffe im Monat abgeben (Jahresdurchschnitt), grundsätzlich weiterhin vor Ort.</w:t>
      </w:r>
    </w:p>
    <w:p w:rsidR="009B42FC" w:rsidRDefault="0020523E" w:rsidP="009B42FC">
      <w:pPr>
        <w:pStyle w:val="Aufzaehlung1"/>
        <w:spacing w:after="120"/>
        <w:contextualSpacing w:val="0"/>
        <w:rPr>
          <w:rStyle w:val="Absatz-Standardschriftart1"/>
        </w:rPr>
      </w:pPr>
      <w:r w:rsidRPr="00E10AE1">
        <w:rPr>
          <w:rStyle w:val="Absatz-Standardschriftart1"/>
        </w:rPr>
        <w:t xml:space="preserve">Entstehungsbetriebe, die weniger als 10 Tonnen Abfälle oder Reststoffe im Monat abgeben (Jahresdurchschnitt) brauchen grundsätzlich </w:t>
      </w:r>
      <w:r w:rsidR="00CE4208" w:rsidRPr="00E10AE1">
        <w:rPr>
          <w:rStyle w:val="Absatz-Standardschriftart1"/>
        </w:rPr>
        <w:t xml:space="preserve">nicht alle </w:t>
      </w:r>
      <w:r w:rsidRPr="00E10AE1">
        <w:rPr>
          <w:rStyle w:val="Absatz-Standardschriftart1"/>
        </w:rPr>
        <w:t xml:space="preserve">vor Ort kontrolliert zu werden. </w:t>
      </w:r>
    </w:p>
    <w:p w:rsidR="005A52DE" w:rsidRPr="00E10AE1" w:rsidRDefault="00711778" w:rsidP="005A52DE">
      <w:pPr>
        <w:pStyle w:val="Aufzaehlung1"/>
        <w:rPr>
          <w:sz w:val="20"/>
          <w:szCs w:val="18"/>
        </w:rPr>
      </w:pPr>
      <w:r w:rsidRPr="00E10AE1">
        <w:rPr>
          <w:sz w:val="20"/>
          <w:szCs w:val="18"/>
        </w:rPr>
        <w:t xml:space="preserve">Die </w:t>
      </w:r>
      <w:r w:rsidR="00CE4208" w:rsidRPr="00E10AE1">
        <w:rPr>
          <w:sz w:val="20"/>
          <w:szCs w:val="18"/>
        </w:rPr>
        <w:t xml:space="preserve">Auswahl der vor Ort </w:t>
      </w:r>
      <w:r w:rsidR="0099634F">
        <w:rPr>
          <w:sz w:val="20"/>
          <w:szCs w:val="18"/>
        </w:rPr>
        <w:t>zu kontrollierenden</w:t>
      </w:r>
      <w:r w:rsidR="0099634F" w:rsidRPr="00E10AE1">
        <w:rPr>
          <w:sz w:val="20"/>
          <w:szCs w:val="18"/>
        </w:rPr>
        <w:t xml:space="preserve"> </w:t>
      </w:r>
      <w:r w:rsidR="00CE4208" w:rsidRPr="00E10AE1">
        <w:rPr>
          <w:sz w:val="20"/>
          <w:szCs w:val="18"/>
        </w:rPr>
        <w:t>Betriebe</w:t>
      </w:r>
      <w:r w:rsidRPr="00E10AE1">
        <w:rPr>
          <w:sz w:val="20"/>
          <w:szCs w:val="18"/>
        </w:rPr>
        <w:t xml:space="preserve"> erfolgt </w:t>
      </w:r>
      <w:r w:rsidR="00896EC4">
        <w:rPr>
          <w:sz w:val="20"/>
          <w:szCs w:val="18"/>
        </w:rPr>
        <w:t xml:space="preserve">hier </w:t>
      </w:r>
      <w:r w:rsidRPr="00E10AE1">
        <w:rPr>
          <w:sz w:val="20"/>
          <w:szCs w:val="18"/>
        </w:rPr>
        <w:t xml:space="preserve">auf Grundlage einer Stichprobe. </w:t>
      </w:r>
      <w:r w:rsidR="005A52DE" w:rsidRPr="00E10AE1">
        <w:rPr>
          <w:sz w:val="20"/>
          <w:szCs w:val="18"/>
        </w:rPr>
        <w:t xml:space="preserve">Die Mindestanzahl der Betriebe für Stichprobenkontrollen ist die Quadratwurzel aus der Gesamtanzahl der Betriebe (√ y, wobei y die Zahl der Betriebe ist), aufgerundet auf die nächste Ganzzahl. Die nachstehend aufgeführten Risikofaktoren bilden die Basis für die Stichprobenkontrollen. Es ist eine repräsentative Auswahl der verschiedenen Betriebe zu kontrollieren. </w:t>
      </w:r>
      <w:r w:rsidR="00FC7092" w:rsidRPr="00E10AE1">
        <w:rPr>
          <w:sz w:val="20"/>
          <w:szCs w:val="18"/>
        </w:rPr>
        <w:t xml:space="preserve">Bei der Gewichtung der </w:t>
      </w:r>
      <w:r w:rsidR="00646D8B" w:rsidRPr="00E10AE1">
        <w:rPr>
          <w:sz w:val="20"/>
          <w:szCs w:val="18"/>
        </w:rPr>
        <w:t>Risikofaktoren</w:t>
      </w:r>
      <w:r w:rsidR="00FC7092" w:rsidRPr="00E10AE1">
        <w:rPr>
          <w:sz w:val="20"/>
          <w:szCs w:val="18"/>
        </w:rPr>
        <w:t xml:space="preserve"> ist folgende Rei</w:t>
      </w:r>
      <w:r w:rsidR="003F33C1">
        <w:rPr>
          <w:sz w:val="20"/>
          <w:szCs w:val="18"/>
        </w:rPr>
        <w:t>he</w:t>
      </w:r>
      <w:r w:rsidR="00FC7092" w:rsidRPr="00E10AE1">
        <w:rPr>
          <w:sz w:val="20"/>
          <w:szCs w:val="18"/>
        </w:rPr>
        <w:t>nfolge zu be</w:t>
      </w:r>
      <w:r w:rsidR="00646D8B" w:rsidRPr="00E10AE1">
        <w:rPr>
          <w:sz w:val="20"/>
          <w:szCs w:val="18"/>
        </w:rPr>
        <w:t>rücksichtigen:</w:t>
      </w:r>
    </w:p>
    <w:p w:rsidR="0020523E" w:rsidRPr="0020523E" w:rsidRDefault="0020523E">
      <w:pPr>
        <w:pStyle w:val="Aufzaehlung1"/>
        <w:rPr>
          <w:rStyle w:val="Absatz-Standardschriftart1"/>
        </w:rPr>
      </w:pPr>
    </w:p>
    <w:p w:rsidR="00EB16B5" w:rsidRDefault="00FC7092">
      <w:pPr>
        <w:pStyle w:val="Aufzaehlung1"/>
        <w:numPr>
          <w:ilvl w:val="0"/>
          <w:numId w:val="15"/>
        </w:numPr>
        <w:rPr>
          <w:rStyle w:val="Absatz-Standardschriftart1"/>
        </w:rPr>
      </w:pPr>
      <w:r>
        <w:rPr>
          <w:rStyle w:val="Absatz-Standardschriftart1"/>
        </w:rPr>
        <w:t>e</w:t>
      </w:r>
      <w:r w:rsidR="00CE4208">
        <w:rPr>
          <w:rStyle w:val="Absatz-Standardschriftart1"/>
        </w:rPr>
        <w:t>ine</w:t>
      </w:r>
      <w:r>
        <w:rPr>
          <w:rStyle w:val="Absatz-Standardschriftart1"/>
        </w:rPr>
        <w:t xml:space="preserve"> </w:t>
      </w:r>
      <w:r w:rsidR="00EB16B5">
        <w:rPr>
          <w:rStyle w:val="Absatz-Standardschriftart1"/>
        </w:rPr>
        <w:t>K.O.-</w:t>
      </w:r>
      <w:r>
        <w:rPr>
          <w:rStyle w:val="Absatz-Standardschriftart1"/>
        </w:rPr>
        <w:t xml:space="preserve">Bewertung </w:t>
      </w:r>
      <w:r w:rsidR="00CE4208">
        <w:rPr>
          <w:rStyle w:val="Absatz-Standardschriftart1"/>
        </w:rPr>
        <w:t xml:space="preserve">in der </w:t>
      </w:r>
      <w:r>
        <w:rPr>
          <w:rStyle w:val="Absatz-Standardschriftart1"/>
        </w:rPr>
        <w:t>vorausgegangenen Kontrolle</w:t>
      </w:r>
      <w:r w:rsidR="000D7996">
        <w:rPr>
          <w:rStyle w:val="Absatz-Standardschriftart1"/>
        </w:rPr>
        <w:t>,</w:t>
      </w:r>
      <w:r>
        <w:rPr>
          <w:rStyle w:val="Absatz-Standardschriftart1"/>
        </w:rPr>
        <w:t xml:space="preserve"> </w:t>
      </w:r>
    </w:p>
    <w:p w:rsidR="002D4AB6" w:rsidRDefault="002D4AB6">
      <w:pPr>
        <w:pStyle w:val="Aufzaehlung1"/>
        <w:numPr>
          <w:ilvl w:val="0"/>
          <w:numId w:val="15"/>
        </w:numPr>
        <w:rPr>
          <w:rStyle w:val="Absatz-Standardschriftart1"/>
        </w:rPr>
      </w:pPr>
      <w:r>
        <w:rPr>
          <w:rStyle w:val="Absatz-Standardschriftart1"/>
        </w:rPr>
        <w:t>Betriebe, die noch nicht in die Stichprobenkontrolle gefallen sind,</w:t>
      </w:r>
    </w:p>
    <w:p w:rsidR="0020523E" w:rsidRPr="0020523E" w:rsidRDefault="002D4AB6">
      <w:pPr>
        <w:pStyle w:val="Aufzaehlung1"/>
        <w:numPr>
          <w:ilvl w:val="0"/>
          <w:numId w:val="15"/>
        </w:numPr>
        <w:rPr>
          <w:rStyle w:val="Absatz-Standardschriftart1"/>
        </w:rPr>
      </w:pPr>
      <w:r w:rsidRPr="0020523E">
        <w:rPr>
          <w:rStyle w:val="Absatz-Standardschriftart1"/>
        </w:rPr>
        <w:t>d</w:t>
      </w:r>
      <w:r>
        <w:rPr>
          <w:rStyle w:val="Absatz-Standardschriftart1"/>
        </w:rPr>
        <w:t>ie Nähe zum</w:t>
      </w:r>
      <w:r w:rsidRPr="0020523E">
        <w:rPr>
          <w:rStyle w:val="Absatz-Standardschriftart1"/>
        </w:rPr>
        <w:t xml:space="preserve"> </w:t>
      </w:r>
      <w:r w:rsidR="0020523E" w:rsidRPr="0020523E">
        <w:rPr>
          <w:rStyle w:val="Absatz-Standardschriftart1"/>
        </w:rPr>
        <w:t>Schwellenwert der Jahrestonnage,</w:t>
      </w:r>
    </w:p>
    <w:p w:rsidR="0020523E" w:rsidRPr="0020523E" w:rsidRDefault="0020523E">
      <w:pPr>
        <w:pStyle w:val="Aufzaehlung1"/>
        <w:numPr>
          <w:ilvl w:val="0"/>
          <w:numId w:val="15"/>
        </w:numPr>
        <w:rPr>
          <w:rStyle w:val="Absatz-Standardschriftart1"/>
        </w:rPr>
      </w:pPr>
      <w:r w:rsidRPr="0020523E">
        <w:rPr>
          <w:rStyle w:val="Absatz-Standardschriftart1"/>
        </w:rPr>
        <w:t>die Art der Abfälle und Reststoffe,</w:t>
      </w:r>
    </w:p>
    <w:p w:rsidR="0020523E" w:rsidRPr="0020523E" w:rsidRDefault="0020523E">
      <w:pPr>
        <w:pStyle w:val="Aufzaehlung1"/>
        <w:numPr>
          <w:ilvl w:val="0"/>
          <w:numId w:val="15"/>
        </w:numPr>
        <w:rPr>
          <w:rStyle w:val="Absatz-Standardschriftart1"/>
        </w:rPr>
      </w:pPr>
      <w:r w:rsidRPr="0020523E">
        <w:rPr>
          <w:rStyle w:val="Absatz-Standardschriftart1"/>
        </w:rPr>
        <w:t xml:space="preserve">die Art des Entstehungsbetriebes, </w:t>
      </w:r>
    </w:p>
    <w:p w:rsidR="0020523E" w:rsidRPr="0020523E" w:rsidRDefault="0020523E">
      <w:pPr>
        <w:pStyle w:val="Aufzaehlung1"/>
        <w:numPr>
          <w:ilvl w:val="0"/>
          <w:numId w:val="15"/>
        </w:numPr>
        <w:rPr>
          <w:rStyle w:val="Absatz-Standardschriftart1"/>
        </w:rPr>
      </w:pPr>
      <w:r w:rsidRPr="0020523E">
        <w:rPr>
          <w:rStyle w:val="Absatz-Standardschriftart1"/>
        </w:rPr>
        <w:t>usw. (zusätzliche Risikokriterien im Ermessen der jeweiligen Zertifizierungsstelle).</w:t>
      </w:r>
    </w:p>
    <w:p w:rsidR="0020523E" w:rsidRPr="0020523E" w:rsidRDefault="0020523E">
      <w:pPr>
        <w:pStyle w:val="Aufzaehlung1"/>
        <w:rPr>
          <w:rStyle w:val="Absatz-Standardschriftart1"/>
        </w:rPr>
      </w:pPr>
    </w:p>
    <w:p w:rsidR="009B42FC" w:rsidRDefault="0020523E">
      <w:pPr>
        <w:pStyle w:val="Aufzaehlung1"/>
        <w:rPr>
          <w:rStyle w:val="Absatz-Standardschriftart1"/>
        </w:rPr>
      </w:pPr>
      <w:r w:rsidRPr="0020523E">
        <w:rPr>
          <w:rStyle w:val="Absatz-Standardschriftart1"/>
        </w:rPr>
        <w:t>Die Art der Stichprobenauswahl und die zu Grunde liegenden Risikokriterien sowie deren Bewertung sind von der Zertifizi</w:t>
      </w:r>
      <w:r w:rsidR="00A821DA">
        <w:rPr>
          <w:rStyle w:val="Absatz-Standardschriftart1"/>
        </w:rPr>
        <w:t xml:space="preserve">erungsstelle zu dokumentieren. </w:t>
      </w:r>
      <w:r w:rsidRPr="0020523E">
        <w:rPr>
          <w:rStyle w:val="Absatz-Standardschriftart1"/>
        </w:rPr>
        <w:t>Stichproben</w:t>
      </w:r>
      <w:r w:rsidR="000D7996">
        <w:rPr>
          <w:rStyle w:val="Absatz-Standardschriftart1"/>
        </w:rPr>
        <w:t>kontrollen</w:t>
      </w:r>
      <w:r w:rsidRPr="0020523E">
        <w:rPr>
          <w:rStyle w:val="Absatz-Standardschriftart1"/>
        </w:rPr>
        <w:t xml:space="preserve"> können nur angewendet werd</w:t>
      </w:r>
      <w:r w:rsidR="004E3300">
        <w:rPr>
          <w:rStyle w:val="Absatz-Standardschriftart1"/>
        </w:rPr>
        <w:t>en, wenn die vertragliche Basis</w:t>
      </w:r>
      <w:r w:rsidR="00995FFB">
        <w:rPr>
          <w:rStyle w:val="Absatz-Standardschriftart1"/>
        </w:rPr>
        <w:t>,</w:t>
      </w:r>
      <w:r w:rsidRPr="0020523E">
        <w:rPr>
          <w:rStyle w:val="Absatz-Standardschriftart1"/>
        </w:rPr>
        <w:t xml:space="preserve"> auf der der Entstehungsbetri</w:t>
      </w:r>
      <w:r w:rsidR="00A821DA">
        <w:rPr>
          <w:rStyle w:val="Absatz-Standardschriftart1"/>
        </w:rPr>
        <w:t>eb operiert, Anreize verhindert</w:t>
      </w:r>
      <w:r w:rsidR="00995FFB">
        <w:rPr>
          <w:rStyle w:val="Absatz-Standardschriftart1"/>
        </w:rPr>
        <w:t>,</w:t>
      </w:r>
      <w:r w:rsidRPr="0020523E">
        <w:rPr>
          <w:rStyle w:val="Absatz-Standardschriftart1"/>
        </w:rPr>
        <w:t xml:space="preserve"> falsche Behauptungen bezüglich der Art des Abfall und Reststoffes aufzustellen</w:t>
      </w:r>
      <w:r w:rsidR="00A821DA">
        <w:rPr>
          <w:rStyle w:val="Absatz-Standardschriftart1"/>
        </w:rPr>
        <w:t>. Entste</w:t>
      </w:r>
      <w:r w:rsidR="004E3300">
        <w:rPr>
          <w:rStyle w:val="Absatz-Standardschriftart1"/>
        </w:rPr>
        <w:t>hungsbetriebe</w:t>
      </w:r>
      <w:r w:rsidR="00995FFB">
        <w:rPr>
          <w:rStyle w:val="Absatz-Standardschriftart1"/>
        </w:rPr>
        <w:t>,</w:t>
      </w:r>
      <w:r w:rsidRPr="0020523E">
        <w:rPr>
          <w:rStyle w:val="Absatz-Standardschriftart1"/>
        </w:rPr>
        <w:t xml:space="preserve"> auf die sich Stichprobenkontrollen nicht anwenden lassen, müssen einzeln kontrolliert werden.</w:t>
      </w:r>
    </w:p>
    <w:p w:rsidR="009B42FC" w:rsidRDefault="009B42FC">
      <w:pPr>
        <w:tabs>
          <w:tab w:val="clear" w:pos="3289"/>
        </w:tabs>
        <w:spacing w:after="0" w:line="240" w:lineRule="auto"/>
        <w:rPr>
          <w:rStyle w:val="Absatz-Standardschriftart1"/>
        </w:rPr>
      </w:pPr>
      <w:r>
        <w:rPr>
          <w:rStyle w:val="Absatz-Standardschriftart1"/>
        </w:rPr>
        <w:br w:type="page"/>
      </w:r>
    </w:p>
    <w:p w:rsidR="0020523E" w:rsidRDefault="0020523E">
      <w:pPr>
        <w:pStyle w:val="Aufzaehlung1"/>
        <w:rPr>
          <w:rStyle w:val="Absatz-Standardschriftart1"/>
        </w:rPr>
      </w:pPr>
      <w:r w:rsidRPr="00E10AE1">
        <w:rPr>
          <w:rStyle w:val="Absatz-Standardschriftart1"/>
        </w:rPr>
        <w:lastRenderedPageBreak/>
        <w:t xml:space="preserve">Ein schwerwiegender Verstoß durch einen der kontrollierten Nicht-EU </w:t>
      </w:r>
      <w:r w:rsidRPr="00E17BA0">
        <w:rPr>
          <w:rStyle w:val="Absatz-Standardschriftart1"/>
        </w:rPr>
        <w:t xml:space="preserve">Entstehungsbetriebe </w:t>
      </w:r>
      <w:r w:rsidR="00E17BA0" w:rsidRPr="00E17BA0">
        <w:rPr>
          <w:rStyle w:val="Absatz-Standardschriftart1"/>
        </w:rPr>
        <w:t xml:space="preserve">zieht </w:t>
      </w:r>
      <w:r w:rsidR="00E17BA0">
        <w:rPr>
          <w:rStyle w:val="Absatz-Standardschriftart1"/>
        </w:rPr>
        <w:t xml:space="preserve">ein </w:t>
      </w:r>
      <w:r w:rsidR="00E17BA0" w:rsidRPr="00E17BA0">
        <w:rPr>
          <w:rStyle w:val="Absatz-Standardschriftart1"/>
        </w:rPr>
        <w:t>Lieferv</w:t>
      </w:r>
      <w:r w:rsidR="00E17BA0">
        <w:rPr>
          <w:rStyle w:val="Absatz-Standardschriftart1"/>
        </w:rPr>
        <w:t>erbot von</w:t>
      </w:r>
      <w:r w:rsidR="00433FCE">
        <w:rPr>
          <w:rStyle w:val="Absatz-Standardschriftart1"/>
        </w:rPr>
        <w:t xml:space="preserve"> als </w:t>
      </w:r>
      <w:r w:rsidR="00433FCE" w:rsidRPr="008C2D64">
        <w:rPr>
          <w:rStyle w:val="Absatz-Standardschriftart1"/>
        </w:rPr>
        <w:t xml:space="preserve">„nachhaltig“ </w:t>
      </w:r>
      <w:r w:rsidR="00433FCE">
        <w:rPr>
          <w:rStyle w:val="Absatz-Standardschriftart1"/>
        </w:rPr>
        <w:t>zertifizierte</w:t>
      </w:r>
      <w:r w:rsidR="00785D80">
        <w:rPr>
          <w:rStyle w:val="Absatz-Standardschriftart1"/>
        </w:rPr>
        <w:t>m</w:t>
      </w:r>
      <w:r w:rsidR="00164401">
        <w:rPr>
          <w:rStyle w:val="Absatz-Standardschriftart1"/>
        </w:rPr>
        <w:t xml:space="preserve"> Abfall </w:t>
      </w:r>
      <w:r w:rsidR="00785D80">
        <w:rPr>
          <w:rStyle w:val="Absatz-Standardschriftart1"/>
        </w:rPr>
        <w:t>sowie</w:t>
      </w:r>
      <w:r w:rsidR="00BD0B70">
        <w:rPr>
          <w:rStyle w:val="Absatz-Standardschriftart1"/>
        </w:rPr>
        <w:t xml:space="preserve"> zertifizierten</w:t>
      </w:r>
      <w:r w:rsidR="00164401">
        <w:rPr>
          <w:rStyle w:val="Absatz-Standardschriftart1"/>
        </w:rPr>
        <w:t xml:space="preserve"> Reststoffen</w:t>
      </w:r>
      <w:r w:rsidR="008C2D64" w:rsidRPr="008C2D64">
        <w:rPr>
          <w:rStyle w:val="Absatz-Standardschriftart1"/>
        </w:rPr>
        <w:t xml:space="preserve"> </w:t>
      </w:r>
      <w:r w:rsidR="00433FCE">
        <w:rPr>
          <w:rStyle w:val="Absatz-Standardschriftart1"/>
        </w:rPr>
        <w:t>an den Sammler</w:t>
      </w:r>
      <w:r w:rsidR="00E17BA0">
        <w:rPr>
          <w:rStyle w:val="Absatz-Standardschriftart1"/>
        </w:rPr>
        <w:t xml:space="preserve"> nach sich</w:t>
      </w:r>
      <w:r w:rsidR="00433FCE">
        <w:rPr>
          <w:rStyle w:val="Absatz-Standardschriftart1"/>
        </w:rPr>
        <w:t xml:space="preserve">. Im Zuge einer Re-Zertifizierung des Sammlers besteht die Möglichkeit der erneuten Aufnahme dieses Entstehungsbetriebs in die </w:t>
      </w:r>
      <w:r w:rsidR="00C86A5A">
        <w:rPr>
          <w:rStyle w:val="Absatz-Standardschriftart1"/>
        </w:rPr>
        <w:t>Lieferkette</w:t>
      </w:r>
      <w:r w:rsidR="00140328">
        <w:rPr>
          <w:rStyle w:val="Absatz-Standardschriftart1"/>
        </w:rPr>
        <w:t>.</w:t>
      </w:r>
    </w:p>
    <w:p w:rsidR="006D56A4" w:rsidRDefault="006D56A4">
      <w:pPr>
        <w:pStyle w:val="Aufzaehlung1"/>
        <w:rPr>
          <w:rStyle w:val="Absatz-Standardschriftart1"/>
        </w:rPr>
      </w:pPr>
    </w:p>
    <w:p w:rsidR="006D56A4" w:rsidRDefault="006D56A4">
      <w:pPr>
        <w:pStyle w:val="Aufzaehlung1"/>
        <w:rPr>
          <w:rStyle w:val="Absatz-Standardschriftart1"/>
          <w:b/>
        </w:rPr>
      </w:pPr>
      <w:r w:rsidRPr="00F8695B">
        <w:rPr>
          <w:rStyle w:val="Absatz-Standardschriftart1"/>
          <w:b/>
        </w:rPr>
        <w:t>Kontrolle</w:t>
      </w:r>
      <w:r>
        <w:rPr>
          <w:rStyle w:val="Absatz-Standardschriftart1"/>
          <w:b/>
        </w:rPr>
        <w:t xml:space="preserve"> </w:t>
      </w:r>
      <w:r w:rsidRPr="006D56A4">
        <w:rPr>
          <w:rStyle w:val="Absatz-Standardschriftart1"/>
          <w:b/>
        </w:rPr>
        <w:t>von Lager- und Umschlagplätze</w:t>
      </w:r>
      <w:r w:rsidR="008F57A9">
        <w:rPr>
          <w:rStyle w:val="Absatz-Standardschriftart1"/>
          <w:b/>
        </w:rPr>
        <w:t>n</w:t>
      </w:r>
    </w:p>
    <w:p w:rsidR="00B9031F" w:rsidRPr="006D56A4" w:rsidRDefault="006D56A4" w:rsidP="009B42FC">
      <w:pPr>
        <w:pStyle w:val="Aufzaehlung1"/>
        <w:spacing w:after="120"/>
        <w:contextualSpacing w:val="0"/>
        <w:rPr>
          <w:rStyle w:val="Absatz-Standardschriftart1"/>
        </w:rPr>
      </w:pPr>
      <w:r w:rsidRPr="006D56A4">
        <w:rPr>
          <w:rStyle w:val="Absatz-Standardschriftart1"/>
        </w:rPr>
        <w:t>Die Nutzung von Lager- und Umschlagplätzen in einem Nicht EU-Mitgliedsstaat durch eine</w:t>
      </w:r>
      <w:r w:rsidR="006B73F7">
        <w:rPr>
          <w:rStyle w:val="Absatz-Standardschriftart1"/>
        </w:rPr>
        <w:t>n</w:t>
      </w:r>
      <w:r w:rsidRPr="006D56A4">
        <w:rPr>
          <w:rStyle w:val="Absatz-Standardschriftart1"/>
        </w:rPr>
        <w:t xml:space="preserve"> Samm</w:t>
      </w:r>
      <w:r w:rsidR="006B73F7">
        <w:rPr>
          <w:rStyle w:val="Absatz-Standardschriftart1"/>
        </w:rPr>
        <w:t>ler</w:t>
      </w:r>
      <w:r w:rsidRPr="006D56A4">
        <w:rPr>
          <w:rStyle w:val="Absatz-Standardschriftart1"/>
        </w:rPr>
        <w:t>/einen Entstehungsbetrieb ist der zustä</w:t>
      </w:r>
      <w:r>
        <w:rPr>
          <w:rStyle w:val="Absatz-Standardschriftart1"/>
        </w:rPr>
        <w:t>ndigen Zertifizierungsstelle an</w:t>
      </w:r>
      <w:r w:rsidRPr="006D56A4">
        <w:rPr>
          <w:rStyle w:val="Absatz-Standardschriftart1"/>
        </w:rPr>
        <w:t>zuze</w:t>
      </w:r>
      <w:r>
        <w:rPr>
          <w:rStyle w:val="Absatz-Standardschriftart1"/>
        </w:rPr>
        <w:t xml:space="preserve">igen und </w:t>
      </w:r>
      <w:r w:rsidR="00896EC4">
        <w:rPr>
          <w:rStyle w:val="Absatz-Standardschriftart1"/>
        </w:rPr>
        <w:t xml:space="preserve">grundsätzlich </w:t>
      </w:r>
      <w:r>
        <w:rPr>
          <w:rStyle w:val="Absatz-Standardschriftart1"/>
        </w:rPr>
        <w:t>kontrollpflichtig.</w:t>
      </w:r>
      <w:r w:rsidR="00B63A93">
        <w:rPr>
          <w:rStyle w:val="Absatz-Standardschriftart1"/>
        </w:rPr>
        <w:t xml:space="preserve"> </w:t>
      </w:r>
      <w:r w:rsidR="00B9031F">
        <w:rPr>
          <w:rStyle w:val="Absatz-Standardschriftart1"/>
        </w:rPr>
        <w:t xml:space="preserve">Die </w:t>
      </w:r>
      <w:r w:rsidR="00B9031F" w:rsidRPr="00505D76">
        <w:rPr>
          <w:rStyle w:val="Absatz-Standardschriftart1"/>
        </w:rPr>
        <w:t>Erstkontrolle</w:t>
      </w:r>
      <w:r w:rsidR="00B9031F">
        <w:rPr>
          <w:rStyle w:val="Absatz-Standardschriftart1"/>
        </w:rPr>
        <w:t xml:space="preserve"> sowie j</w:t>
      </w:r>
      <w:r w:rsidR="00B9031F" w:rsidRPr="00505D76">
        <w:rPr>
          <w:rStyle w:val="Absatz-Standardschriftart1"/>
        </w:rPr>
        <w:t>ede nachfolgende Kontrolle</w:t>
      </w:r>
      <w:r w:rsidR="00B63A93">
        <w:rPr>
          <w:rStyle w:val="Absatz-Standardschriftart1"/>
        </w:rPr>
        <w:t xml:space="preserve"> erfolgen</w:t>
      </w:r>
      <w:r w:rsidR="00B9031F">
        <w:rPr>
          <w:rStyle w:val="Absatz-Standardschriftart1"/>
        </w:rPr>
        <w:t xml:space="preserve"> </w:t>
      </w:r>
      <w:r w:rsidR="00896EC4">
        <w:rPr>
          <w:rStyle w:val="Absatz-Standardschriftart1"/>
        </w:rPr>
        <w:t xml:space="preserve">immer </w:t>
      </w:r>
      <w:r w:rsidR="00B9031F">
        <w:rPr>
          <w:rStyle w:val="Absatz-Standardschriftart1"/>
        </w:rPr>
        <w:t>vor Ort.</w:t>
      </w:r>
    </w:p>
    <w:p w:rsidR="006D56A4" w:rsidRDefault="006D56A4">
      <w:pPr>
        <w:pStyle w:val="Aufzaehlung1"/>
        <w:rPr>
          <w:rStyle w:val="Absatz-Standardschriftart1"/>
        </w:rPr>
      </w:pPr>
      <w:r w:rsidRPr="006D56A4">
        <w:rPr>
          <w:rStyle w:val="Absatz-Standardschriftart1"/>
        </w:rPr>
        <w:t>Umschlagplätze sind definiert als Standorte, an denen lediglich eine Bereits</w:t>
      </w:r>
      <w:r>
        <w:rPr>
          <w:rStyle w:val="Absatz-Standardschriftart1"/>
        </w:rPr>
        <w:t>tellung zum Transport erfolgt, d</w:t>
      </w:r>
      <w:r w:rsidRPr="006D56A4">
        <w:rPr>
          <w:rStyle w:val="Absatz-Standardschriftart1"/>
        </w:rPr>
        <w:t>. h.:</w:t>
      </w:r>
    </w:p>
    <w:p w:rsidR="00201F16" w:rsidRPr="006D56A4" w:rsidRDefault="00201F16">
      <w:pPr>
        <w:pStyle w:val="Aufzaehlung1"/>
        <w:rPr>
          <w:rStyle w:val="Absatz-Standardschriftart1"/>
        </w:rPr>
      </w:pPr>
    </w:p>
    <w:p w:rsidR="006D56A4" w:rsidRPr="006D56A4" w:rsidRDefault="006D56A4" w:rsidP="009B42FC">
      <w:pPr>
        <w:pStyle w:val="Aufzaehlung1"/>
        <w:spacing w:after="120"/>
        <w:contextualSpacing w:val="0"/>
        <w:rPr>
          <w:rStyle w:val="Absatz-Standardschriftart1"/>
        </w:rPr>
      </w:pPr>
      <w:r w:rsidRPr="006D56A4">
        <w:rPr>
          <w:rStyle w:val="Absatz-Standardschriftart1"/>
        </w:rPr>
        <w:t>1 . Die kurzfristige Lagerung zum Zwecke des Umschlages darf 24 Stunden in der Regel nicht überschreiten.</w:t>
      </w:r>
    </w:p>
    <w:p w:rsidR="006D56A4" w:rsidRPr="006D56A4" w:rsidRDefault="006D56A4">
      <w:pPr>
        <w:pStyle w:val="Aufzaehlung1"/>
        <w:rPr>
          <w:rStyle w:val="Absatz-Standardschriftart1"/>
        </w:rPr>
      </w:pPr>
      <w:r w:rsidRPr="006D56A4">
        <w:rPr>
          <w:rStyle w:val="Absatz-Standardschriftart1"/>
        </w:rPr>
        <w:t>2 . Am Ort des Umschlages dürfen keinerlei Vermisc</w:t>
      </w:r>
      <w:r>
        <w:rPr>
          <w:rStyle w:val="Absatz-Standardschriftart1"/>
        </w:rPr>
        <w:t>hungen oder Veränderungen am Ge</w:t>
      </w:r>
      <w:r w:rsidRPr="006D56A4">
        <w:rPr>
          <w:rStyle w:val="Absatz-Standardschriftart1"/>
        </w:rPr>
        <w:t>binde oder am Produkt selbst vorgenommen werden.</w:t>
      </w:r>
    </w:p>
    <w:p w:rsidR="006D56A4" w:rsidRPr="006D56A4" w:rsidRDefault="006D56A4">
      <w:pPr>
        <w:pStyle w:val="Aufzaehlung1"/>
        <w:rPr>
          <w:rStyle w:val="Absatz-Standardschriftart1"/>
        </w:rPr>
      </w:pPr>
    </w:p>
    <w:p w:rsidR="006D56A4" w:rsidRPr="006D56A4" w:rsidRDefault="002D4AB6">
      <w:pPr>
        <w:pStyle w:val="Aufzaehlung1"/>
        <w:rPr>
          <w:rStyle w:val="Absatz-Standardschriftart1"/>
        </w:rPr>
      </w:pPr>
      <w:r>
        <w:rPr>
          <w:rStyle w:val="Absatz-Standardschriftart1"/>
        </w:rPr>
        <w:t xml:space="preserve">Demgegenüber werden </w:t>
      </w:r>
      <w:r w:rsidR="006D56A4" w:rsidRPr="006D56A4">
        <w:rPr>
          <w:rStyle w:val="Absatz-Standardschriftart1"/>
        </w:rPr>
        <w:t>Lagerplätze von Abfall und Reststoffen bei</w:t>
      </w:r>
    </w:p>
    <w:p w:rsidR="006D56A4" w:rsidRPr="006D56A4" w:rsidRDefault="006D56A4">
      <w:pPr>
        <w:pStyle w:val="Aufzaehlung1"/>
        <w:rPr>
          <w:rStyle w:val="Absatz-Standardschriftart1"/>
        </w:rPr>
      </w:pPr>
    </w:p>
    <w:p w:rsidR="006D56A4" w:rsidRPr="006D56A4" w:rsidRDefault="006D56A4">
      <w:pPr>
        <w:pStyle w:val="Aufzaehlung1"/>
        <w:numPr>
          <w:ilvl w:val="0"/>
          <w:numId w:val="16"/>
        </w:numPr>
        <w:rPr>
          <w:rStyle w:val="Absatz-Standardschriftart1"/>
        </w:rPr>
      </w:pPr>
      <w:r w:rsidRPr="006D56A4">
        <w:rPr>
          <w:rStyle w:val="Absatz-Standardschriftart1"/>
        </w:rPr>
        <w:t>längerfristiger Lagerung (mehr als 24 Stunden),</w:t>
      </w:r>
    </w:p>
    <w:p w:rsidR="006D56A4" w:rsidRPr="006D56A4" w:rsidRDefault="006D56A4">
      <w:pPr>
        <w:pStyle w:val="Aufzaehlung1"/>
        <w:numPr>
          <w:ilvl w:val="0"/>
          <w:numId w:val="16"/>
        </w:numPr>
        <w:rPr>
          <w:rStyle w:val="Absatz-Standardschriftart1"/>
        </w:rPr>
      </w:pPr>
      <w:r w:rsidRPr="006D56A4">
        <w:rPr>
          <w:rStyle w:val="Absatz-Standardschriftart1"/>
        </w:rPr>
        <w:t xml:space="preserve">Mischung/Veränderung der Gebinde (bspw. </w:t>
      </w:r>
      <w:r w:rsidR="00995FFB">
        <w:rPr>
          <w:rStyle w:val="Absatz-Standardschriftart1"/>
        </w:rPr>
        <w:t>u</w:t>
      </w:r>
      <w:r w:rsidRPr="006D56A4">
        <w:rPr>
          <w:rStyle w:val="Absatz-Standardschriftart1"/>
        </w:rPr>
        <w:t>mfüllen),</w:t>
      </w:r>
    </w:p>
    <w:p w:rsidR="006D56A4" w:rsidRPr="006D56A4" w:rsidRDefault="006D56A4">
      <w:pPr>
        <w:pStyle w:val="Aufzaehlung1"/>
        <w:numPr>
          <w:ilvl w:val="0"/>
          <w:numId w:val="16"/>
        </w:numPr>
        <w:rPr>
          <w:rStyle w:val="Absatz-Standardschriftart1"/>
        </w:rPr>
      </w:pPr>
      <w:r w:rsidRPr="006D56A4">
        <w:rPr>
          <w:rStyle w:val="Absatz-Standardschriftart1"/>
        </w:rPr>
        <w:t>Verarbeitung/Aufbereitung der angelieferten Biomasse,</w:t>
      </w:r>
    </w:p>
    <w:p w:rsidR="006D56A4" w:rsidRPr="006D56A4" w:rsidRDefault="006D56A4">
      <w:pPr>
        <w:pStyle w:val="Aufzaehlung1"/>
        <w:numPr>
          <w:ilvl w:val="0"/>
          <w:numId w:val="16"/>
        </w:numPr>
        <w:rPr>
          <w:rStyle w:val="Absatz-Standardschriftart1"/>
        </w:rPr>
      </w:pPr>
      <w:r w:rsidRPr="006D56A4">
        <w:rPr>
          <w:rStyle w:val="Absatz-Standardschriftart1"/>
        </w:rPr>
        <w:t>Verwiegung der eingehenden Biomasse,</w:t>
      </w:r>
    </w:p>
    <w:p w:rsidR="006D56A4" w:rsidRPr="006D56A4" w:rsidRDefault="006D56A4">
      <w:pPr>
        <w:pStyle w:val="Aufzaehlung1"/>
        <w:numPr>
          <w:ilvl w:val="0"/>
          <w:numId w:val="16"/>
        </w:numPr>
        <w:rPr>
          <w:rStyle w:val="Absatz-Standardschriftart1"/>
        </w:rPr>
      </w:pPr>
      <w:r w:rsidRPr="006D56A4">
        <w:rPr>
          <w:rStyle w:val="Absatz-Standardschriftart1"/>
        </w:rPr>
        <w:t>Dokumentation des Warenein- und –ausgangs</w:t>
      </w:r>
    </w:p>
    <w:p w:rsidR="006D56A4" w:rsidRPr="006D56A4" w:rsidRDefault="006D56A4">
      <w:pPr>
        <w:pStyle w:val="Aufzaehlung1"/>
        <w:rPr>
          <w:rStyle w:val="Absatz-Standardschriftart1"/>
        </w:rPr>
      </w:pPr>
    </w:p>
    <w:p w:rsidR="006D56A4" w:rsidRPr="006D56A4" w:rsidRDefault="006D56A4" w:rsidP="009B42FC">
      <w:pPr>
        <w:pStyle w:val="Aufzaehlung1"/>
        <w:spacing w:after="120"/>
        <w:contextualSpacing w:val="0"/>
        <w:rPr>
          <w:rStyle w:val="Absatz-Standardschriftart1"/>
        </w:rPr>
      </w:pPr>
      <w:r w:rsidRPr="006D56A4">
        <w:rPr>
          <w:rStyle w:val="Absatz-Standardschriftart1"/>
        </w:rPr>
        <w:t>als Betriebsstätten bezeichnet und müssen in der REDcert-Datenbank als ein weiterer Standort des zu zertifizierenden Systemteilnehmers vermerkt werden.</w:t>
      </w:r>
    </w:p>
    <w:p w:rsidR="006D56A4" w:rsidRDefault="006D56A4">
      <w:pPr>
        <w:pStyle w:val="Aufzaehlung1"/>
        <w:rPr>
          <w:rStyle w:val="Absatz-Standardschriftart1"/>
        </w:rPr>
      </w:pPr>
      <w:r w:rsidRPr="006D56A4">
        <w:rPr>
          <w:rStyle w:val="Absatz-Standardschriftart1"/>
        </w:rPr>
        <w:t>Neben den zuvor genannten Anforderungen müssen die für die Nutzung von Umschlag-/Lagerplätzen relevanten abfallrechtlichen Regelungen befolgt werden.</w:t>
      </w:r>
    </w:p>
    <w:p w:rsidR="00896EC4" w:rsidRPr="006D56A4" w:rsidRDefault="00896EC4">
      <w:pPr>
        <w:pStyle w:val="Aufzaehlung1"/>
        <w:rPr>
          <w:rStyle w:val="Absatz-Standardschriftart1"/>
        </w:rPr>
      </w:pPr>
    </w:p>
    <w:p w:rsidR="006D56A4" w:rsidRPr="006D56A4" w:rsidRDefault="006D56A4">
      <w:pPr>
        <w:pStyle w:val="Aufzaehlung1"/>
        <w:rPr>
          <w:rStyle w:val="Absatz-Standardschriftart1"/>
        </w:rPr>
      </w:pPr>
      <w:r w:rsidRPr="006D56A4">
        <w:rPr>
          <w:rStyle w:val="Absatz-Standardschriftart1"/>
        </w:rPr>
        <w:t>Die Vor-Ort Kont</w:t>
      </w:r>
      <w:r w:rsidR="00BD0B70">
        <w:rPr>
          <w:rStyle w:val="Absatz-Standardschriftart1"/>
        </w:rPr>
        <w:t xml:space="preserve">rollen der Entstehungsbetriebe, </w:t>
      </w:r>
      <w:r w:rsidRPr="006D56A4">
        <w:rPr>
          <w:rStyle w:val="Absatz-Standardschriftart1"/>
        </w:rPr>
        <w:t>Lager- oder Umschlagplätze müssen nicht zu Beginn der Systemkontrolle eine</w:t>
      </w:r>
      <w:r w:rsidR="006B73F7">
        <w:rPr>
          <w:rStyle w:val="Absatz-Standardschriftart1"/>
        </w:rPr>
        <w:t>s</w:t>
      </w:r>
      <w:r w:rsidRPr="006D56A4">
        <w:rPr>
          <w:rStyle w:val="Absatz-Standardschriftart1"/>
        </w:rPr>
        <w:t xml:space="preserve"> Samm</w:t>
      </w:r>
      <w:r w:rsidR="006B73F7">
        <w:rPr>
          <w:rStyle w:val="Absatz-Standardschriftart1"/>
        </w:rPr>
        <w:t>lers</w:t>
      </w:r>
      <w:r w:rsidRPr="006D56A4">
        <w:rPr>
          <w:rStyle w:val="Absatz-Standardschriftart1"/>
        </w:rPr>
        <w:t xml:space="preserve"> stattfinden. Diese können auch nach der Systemkontrolle durchgeführt werden. Ein Zertifikat für </w:t>
      </w:r>
      <w:r w:rsidR="006B73F7">
        <w:rPr>
          <w:rStyle w:val="Absatz-Standardschriftart1"/>
        </w:rPr>
        <w:t>einen</w:t>
      </w:r>
      <w:r w:rsidRPr="006D56A4">
        <w:rPr>
          <w:rStyle w:val="Absatz-Standardschriftart1"/>
        </w:rPr>
        <w:t xml:space="preserve"> Samml</w:t>
      </w:r>
      <w:r w:rsidR="006B73F7">
        <w:rPr>
          <w:rStyle w:val="Absatz-Standardschriftart1"/>
        </w:rPr>
        <w:t>er</w:t>
      </w:r>
      <w:r w:rsidRPr="006D56A4">
        <w:rPr>
          <w:rStyle w:val="Absatz-Standardschriftart1"/>
        </w:rPr>
        <w:t xml:space="preserve"> von Abfall und Reststoffen kann allerdings erst </w:t>
      </w:r>
      <w:r w:rsidR="00E73888">
        <w:rPr>
          <w:rStyle w:val="Absatz-Standardschriftart1"/>
        </w:rPr>
        <w:t xml:space="preserve">dann </w:t>
      </w:r>
      <w:r w:rsidRPr="006D56A4">
        <w:rPr>
          <w:rStyle w:val="Absatz-Standardschriftart1"/>
        </w:rPr>
        <w:t>ausgestellt werden, wenn zuvor entsprechende Kontrollen der Nicht-EU Entstehungsbetriebe und/oder der Nicht-EU Umschlag-/Lagerplätze durchgeführt wurden.</w:t>
      </w:r>
    </w:p>
    <w:sectPr w:rsidR="006D56A4" w:rsidRPr="006D56A4" w:rsidSect="009B42FC">
      <w:footerReference w:type="default" r:id="rId12"/>
      <w:pgSz w:w="11900" w:h="16840"/>
      <w:pgMar w:top="2812" w:right="1021" w:bottom="851" w:left="1361" w:header="851" w:footer="4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6C" w:rsidRDefault="002C1F6C" w:rsidP="00C12A07">
      <w:pPr>
        <w:spacing w:after="0" w:line="240" w:lineRule="auto"/>
      </w:pPr>
      <w:r>
        <w:separator/>
      </w:r>
    </w:p>
  </w:endnote>
  <w:endnote w:type="continuationSeparator" w:id="0">
    <w:p w:rsidR="002C1F6C" w:rsidRDefault="002C1F6C" w:rsidP="00C1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00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42FC" w:rsidRPr="009B42FC" w:rsidRDefault="009B42FC">
        <w:pPr>
          <w:pStyle w:val="Fuzeile"/>
          <w:jc w:val="center"/>
          <w:rPr>
            <w:sz w:val="20"/>
            <w:szCs w:val="20"/>
          </w:rPr>
        </w:pPr>
        <w:r w:rsidRPr="009B42FC">
          <w:rPr>
            <w:sz w:val="20"/>
            <w:szCs w:val="20"/>
          </w:rPr>
          <w:fldChar w:fldCharType="begin"/>
        </w:r>
        <w:r w:rsidRPr="009B42FC">
          <w:rPr>
            <w:sz w:val="20"/>
            <w:szCs w:val="20"/>
          </w:rPr>
          <w:instrText>PAGE   \* MERGEFORMAT</w:instrText>
        </w:r>
        <w:r w:rsidRPr="009B42FC">
          <w:rPr>
            <w:sz w:val="20"/>
            <w:szCs w:val="20"/>
          </w:rPr>
          <w:fldChar w:fldCharType="separate"/>
        </w:r>
        <w:r w:rsidR="00E110CC">
          <w:rPr>
            <w:noProof/>
            <w:sz w:val="20"/>
            <w:szCs w:val="20"/>
          </w:rPr>
          <w:t>3</w:t>
        </w:r>
        <w:r w:rsidRPr="009B42FC">
          <w:rPr>
            <w:sz w:val="20"/>
            <w:szCs w:val="20"/>
          </w:rPr>
          <w:fldChar w:fldCharType="end"/>
        </w:r>
      </w:p>
    </w:sdtContent>
  </w:sdt>
  <w:p w:rsidR="00914F60" w:rsidRPr="009B42FC" w:rsidRDefault="00914F60" w:rsidP="009B42FC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6C" w:rsidRDefault="002C1F6C" w:rsidP="00C12A07">
      <w:pPr>
        <w:spacing w:after="0" w:line="240" w:lineRule="auto"/>
      </w:pPr>
      <w:r>
        <w:separator/>
      </w:r>
    </w:p>
  </w:footnote>
  <w:footnote w:type="continuationSeparator" w:id="0">
    <w:p w:rsidR="002C1F6C" w:rsidRDefault="002C1F6C" w:rsidP="00C1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04" w:rsidRDefault="004A2B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D800C" wp14:editId="34D62CDE">
              <wp:simplePos x="0" y="0"/>
              <wp:positionH relativeFrom="column">
                <wp:posOffset>5702300</wp:posOffset>
              </wp:positionH>
              <wp:positionV relativeFrom="paragraph">
                <wp:posOffset>8837295</wp:posOffset>
              </wp:positionV>
              <wp:extent cx="1371600" cy="457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2B04" w:rsidRPr="00C12A07" w:rsidRDefault="004A2B04" w:rsidP="00C12A07">
                          <w:pPr>
                            <w:pStyle w:val="Copyright"/>
                          </w:pPr>
                          <w:r w:rsidRPr="00C12A07">
                            <w:t>© REDcert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49pt;margin-top:695.85pt;width:108pt;height:36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" filled="f" stroked="f">
              <v:textbox inset=",,,0">
                <w:txbxContent>
                  <w:p w:rsidR="004A2B04" w:rsidRPr="00C12A07" w:rsidRDefault="004A2B04" w:rsidP="00C12A07">
                    <w:pPr>
                      <w:pStyle w:val="Copyright"/>
                    </w:pPr>
                    <w:r w:rsidRPr="00C12A07">
                      <w:t>© REDcert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3pt;height:19.15pt" o:bullet="t">
        <v:imagedata r:id="rId1" o:title="Aufz_Pfeil"/>
      </v:shape>
    </w:pict>
  </w:numPicBullet>
  <w:abstractNum w:abstractNumId="0">
    <w:nsid w:val="02575FE4"/>
    <w:multiLevelType w:val="hybridMultilevel"/>
    <w:tmpl w:val="0FB01630"/>
    <w:lvl w:ilvl="0" w:tplc="836C5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82A"/>
    <w:multiLevelType w:val="multilevel"/>
    <w:tmpl w:val="47701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89"/>
        </w:tabs>
        <w:ind w:left="4320" w:hanging="80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A5E"/>
    <w:multiLevelType w:val="hybridMultilevel"/>
    <w:tmpl w:val="18827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00628"/>
    <w:multiLevelType w:val="hybridMultilevel"/>
    <w:tmpl w:val="91641580"/>
    <w:lvl w:ilvl="0" w:tplc="836C5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2323"/>
    <w:multiLevelType w:val="multilevel"/>
    <w:tmpl w:val="1BB097F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41B9"/>
    <w:multiLevelType w:val="hybridMultilevel"/>
    <w:tmpl w:val="1BB097FE"/>
    <w:lvl w:ilvl="0" w:tplc="836C5B8C">
      <w:start w:val="1"/>
      <w:numFmt w:val="bullet"/>
      <w:lvlText w:val=""/>
      <w:lvlPicBulletId w:val="0"/>
      <w:lvlJc w:val="left"/>
      <w:pPr>
        <w:tabs>
          <w:tab w:val="num" w:pos="227"/>
        </w:tabs>
        <w:ind w:left="0" w:firstLine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A02"/>
    <w:multiLevelType w:val="hybridMultilevel"/>
    <w:tmpl w:val="34BC7662"/>
    <w:lvl w:ilvl="0" w:tplc="836C5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04B7E"/>
    <w:multiLevelType w:val="hybridMultilevel"/>
    <w:tmpl w:val="6BBA4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0334A">
      <w:start w:val="1"/>
      <w:numFmt w:val="bullet"/>
      <w:lvlText w:val=""/>
      <w:lvlPicBulletId w:val="0"/>
      <w:lvlJc w:val="left"/>
      <w:pPr>
        <w:tabs>
          <w:tab w:val="num" w:pos="3289"/>
        </w:tabs>
        <w:ind w:left="4320" w:hanging="805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2EF2"/>
    <w:multiLevelType w:val="hybridMultilevel"/>
    <w:tmpl w:val="5D029C86"/>
    <w:lvl w:ilvl="0" w:tplc="84BA35B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B71A8"/>
    <w:multiLevelType w:val="hybridMultilevel"/>
    <w:tmpl w:val="69D8F784"/>
    <w:lvl w:ilvl="0" w:tplc="E1BA193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A6411"/>
    <w:multiLevelType w:val="hybridMultilevel"/>
    <w:tmpl w:val="47701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0FCEC">
      <w:start w:val="1"/>
      <w:numFmt w:val="bullet"/>
      <w:lvlText w:val=""/>
      <w:lvlJc w:val="left"/>
      <w:pPr>
        <w:tabs>
          <w:tab w:val="num" w:pos="3289"/>
        </w:tabs>
        <w:ind w:left="4320" w:hanging="805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002"/>
    <w:multiLevelType w:val="hybridMultilevel"/>
    <w:tmpl w:val="FF6C5F08"/>
    <w:lvl w:ilvl="0" w:tplc="836C5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536B2"/>
    <w:multiLevelType w:val="multilevel"/>
    <w:tmpl w:val="18827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37171"/>
    <w:multiLevelType w:val="multilevel"/>
    <w:tmpl w:val="F4BEB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D23A4"/>
    <w:multiLevelType w:val="hybridMultilevel"/>
    <w:tmpl w:val="6710379C"/>
    <w:lvl w:ilvl="0" w:tplc="836C5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D1357"/>
    <w:multiLevelType w:val="hybridMultilevel"/>
    <w:tmpl w:val="847032B4"/>
    <w:lvl w:ilvl="0" w:tplc="836C5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04DB4"/>
    <w:multiLevelType w:val="hybridMultilevel"/>
    <w:tmpl w:val="8B327776"/>
    <w:lvl w:ilvl="0" w:tplc="836C5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06413"/>
    <w:multiLevelType w:val="hybridMultilevel"/>
    <w:tmpl w:val="F4BEB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11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B"/>
    <w:rsid w:val="0006145B"/>
    <w:rsid w:val="000A2511"/>
    <w:rsid w:val="000C25A0"/>
    <w:rsid w:val="000C6680"/>
    <w:rsid w:val="000D7996"/>
    <w:rsid w:val="00140328"/>
    <w:rsid w:val="00164401"/>
    <w:rsid w:val="00166EE7"/>
    <w:rsid w:val="00192DCF"/>
    <w:rsid w:val="001960EE"/>
    <w:rsid w:val="001F1CCA"/>
    <w:rsid w:val="00201F16"/>
    <w:rsid w:val="0020523E"/>
    <w:rsid w:val="00291161"/>
    <w:rsid w:val="002B7E10"/>
    <w:rsid w:val="002C1F6C"/>
    <w:rsid w:val="002D4AB6"/>
    <w:rsid w:val="003336BB"/>
    <w:rsid w:val="003D3834"/>
    <w:rsid w:val="003E7758"/>
    <w:rsid w:val="003F33C1"/>
    <w:rsid w:val="003F467D"/>
    <w:rsid w:val="003F5ED0"/>
    <w:rsid w:val="0042742B"/>
    <w:rsid w:val="0043342E"/>
    <w:rsid w:val="00433FCE"/>
    <w:rsid w:val="0045052E"/>
    <w:rsid w:val="0048314A"/>
    <w:rsid w:val="00494C74"/>
    <w:rsid w:val="004A2B04"/>
    <w:rsid w:val="004D5C9B"/>
    <w:rsid w:val="004E3300"/>
    <w:rsid w:val="004F5CD2"/>
    <w:rsid w:val="00505A6F"/>
    <w:rsid w:val="00505D76"/>
    <w:rsid w:val="005074C9"/>
    <w:rsid w:val="0057627A"/>
    <w:rsid w:val="00582464"/>
    <w:rsid w:val="005A52DE"/>
    <w:rsid w:val="00617950"/>
    <w:rsid w:val="00620FB6"/>
    <w:rsid w:val="00635BE0"/>
    <w:rsid w:val="00646D8B"/>
    <w:rsid w:val="006A278B"/>
    <w:rsid w:val="006B009C"/>
    <w:rsid w:val="006B73F7"/>
    <w:rsid w:val="006D56A4"/>
    <w:rsid w:val="00711778"/>
    <w:rsid w:val="00741045"/>
    <w:rsid w:val="007527FA"/>
    <w:rsid w:val="00761ED1"/>
    <w:rsid w:val="00785D80"/>
    <w:rsid w:val="007A0A6F"/>
    <w:rsid w:val="007C1876"/>
    <w:rsid w:val="00803221"/>
    <w:rsid w:val="00815835"/>
    <w:rsid w:val="00826DE8"/>
    <w:rsid w:val="00846097"/>
    <w:rsid w:val="0085073E"/>
    <w:rsid w:val="00850EE0"/>
    <w:rsid w:val="00855170"/>
    <w:rsid w:val="00857126"/>
    <w:rsid w:val="00871693"/>
    <w:rsid w:val="00892C0E"/>
    <w:rsid w:val="00896EC4"/>
    <w:rsid w:val="008B4486"/>
    <w:rsid w:val="008C2D64"/>
    <w:rsid w:val="008D1EAF"/>
    <w:rsid w:val="008D21B7"/>
    <w:rsid w:val="008E2D84"/>
    <w:rsid w:val="008E4CCD"/>
    <w:rsid w:val="008F57A9"/>
    <w:rsid w:val="00906CE0"/>
    <w:rsid w:val="00914F60"/>
    <w:rsid w:val="009531BA"/>
    <w:rsid w:val="00995FFB"/>
    <w:rsid w:val="0099634F"/>
    <w:rsid w:val="009B42FC"/>
    <w:rsid w:val="00A07FE6"/>
    <w:rsid w:val="00A1291D"/>
    <w:rsid w:val="00A277C3"/>
    <w:rsid w:val="00A77E08"/>
    <w:rsid w:val="00A821DA"/>
    <w:rsid w:val="00A9062D"/>
    <w:rsid w:val="00AB48B7"/>
    <w:rsid w:val="00AF5AAF"/>
    <w:rsid w:val="00B04153"/>
    <w:rsid w:val="00B255D3"/>
    <w:rsid w:val="00B46991"/>
    <w:rsid w:val="00B63A93"/>
    <w:rsid w:val="00B67441"/>
    <w:rsid w:val="00B9031F"/>
    <w:rsid w:val="00BC7EE7"/>
    <w:rsid w:val="00BD0B70"/>
    <w:rsid w:val="00BE4FBA"/>
    <w:rsid w:val="00BF58DF"/>
    <w:rsid w:val="00C12A07"/>
    <w:rsid w:val="00C36B36"/>
    <w:rsid w:val="00C506EF"/>
    <w:rsid w:val="00C70959"/>
    <w:rsid w:val="00C838A1"/>
    <w:rsid w:val="00C86A5A"/>
    <w:rsid w:val="00CA7650"/>
    <w:rsid w:val="00CC0EF1"/>
    <w:rsid w:val="00CE4208"/>
    <w:rsid w:val="00D07519"/>
    <w:rsid w:val="00D22BEB"/>
    <w:rsid w:val="00D5781A"/>
    <w:rsid w:val="00DC16FE"/>
    <w:rsid w:val="00DC3A14"/>
    <w:rsid w:val="00E022C0"/>
    <w:rsid w:val="00E10AE1"/>
    <w:rsid w:val="00E110CC"/>
    <w:rsid w:val="00E14A4B"/>
    <w:rsid w:val="00E17BA0"/>
    <w:rsid w:val="00E73888"/>
    <w:rsid w:val="00EB16B5"/>
    <w:rsid w:val="00ED14FD"/>
    <w:rsid w:val="00EE232F"/>
    <w:rsid w:val="00F22C75"/>
    <w:rsid w:val="00F8695B"/>
    <w:rsid w:val="00FA4C6C"/>
    <w:rsid w:val="00FC53AD"/>
    <w:rsid w:val="00FC7092"/>
    <w:rsid w:val="00FF2E74"/>
    <w:rsid w:val="00FF5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336BB"/>
    <w:pPr>
      <w:tabs>
        <w:tab w:val="left" w:pos="3289"/>
      </w:tabs>
      <w:spacing w:after="160" w:line="420" w:lineRule="exact"/>
    </w:pPr>
    <w:rPr>
      <w:rFonts w:ascii="Verdana" w:hAnsi="Verdana"/>
      <w:sz w:val="32"/>
      <w:szCs w:val="32"/>
    </w:rPr>
  </w:style>
  <w:style w:type="paragraph" w:styleId="berschrift1">
    <w:name w:val="heading 1"/>
    <w:basedOn w:val="Standard"/>
    <w:next w:val="Standard"/>
    <w:autoRedefine/>
    <w:qFormat/>
    <w:rsid w:val="0010694A"/>
    <w:pPr>
      <w:keepNext/>
      <w:spacing w:after="320" w:line="720" w:lineRule="exact"/>
      <w:outlineLvl w:val="0"/>
    </w:pPr>
    <w:rPr>
      <w:b/>
      <w:spacing w:val="20"/>
      <w:kern w:val="32"/>
      <w:sz w:val="7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4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22C75"/>
    <w:rPr>
      <w:rFonts w:ascii="Verdana" w:hAnsi="Verdana"/>
      <w:b w:val="0"/>
      <w:bCs w:val="0"/>
      <w:i w:val="0"/>
      <w:iCs w:val="0"/>
      <w:sz w:val="20"/>
      <w:szCs w:val="18"/>
    </w:rPr>
  </w:style>
  <w:style w:type="paragraph" w:styleId="Listenabsatz">
    <w:name w:val="List Paragraph"/>
    <w:basedOn w:val="Standard"/>
    <w:uiPriority w:val="34"/>
    <w:qFormat/>
    <w:rsid w:val="00A277C3"/>
    <w:pPr>
      <w:ind w:left="720"/>
      <w:contextualSpacing/>
    </w:pPr>
  </w:style>
  <w:style w:type="paragraph" w:customStyle="1" w:styleId="Aufzaehlung1">
    <w:name w:val="Aufzaehlung 1"/>
    <w:basedOn w:val="Listenabsatz"/>
    <w:autoRedefine/>
    <w:qFormat/>
    <w:rsid w:val="004F5CD2"/>
    <w:pPr>
      <w:tabs>
        <w:tab w:val="clear" w:pos="3289"/>
      </w:tabs>
      <w:spacing w:line="320" w:lineRule="exact"/>
      <w:ind w:left="0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C12A07"/>
    <w:pPr>
      <w:tabs>
        <w:tab w:val="clear" w:pos="32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A07"/>
    <w:rPr>
      <w:rFonts w:ascii="Verdana" w:hAnsi="Verdana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C12A07"/>
    <w:pPr>
      <w:tabs>
        <w:tab w:val="clear" w:pos="3289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A07"/>
    <w:rPr>
      <w:rFonts w:ascii="Verdana" w:hAnsi="Verdana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pyright">
    <w:name w:val="Copyright"/>
    <w:basedOn w:val="Standard"/>
    <w:autoRedefine/>
    <w:qFormat/>
    <w:rsid w:val="00C12A07"/>
    <w:rPr>
      <w:color w:val="009EE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A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A765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48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48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48B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4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48B7"/>
    <w:rPr>
      <w:rFonts w:ascii="Verdana" w:hAnsi="Verdana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4F60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336BB"/>
    <w:pPr>
      <w:tabs>
        <w:tab w:val="left" w:pos="3289"/>
      </w:tabs>
      <w:spacing w:after="160" w:line="420" w:lineRule="exact"/>
    </w:pPr>
    <w:rPr>
      <w:rFonts w:ascii="Verdana" w:hAnsi="Verdana"/>
      <w:sz w:val="32"/>
      <w:szCs w:val="32"/>
    </w:rPr>
  </w:style>
  <w:style w:type="paragraph" w:styleId="berschrift1">
    <w:name w:val="heading 1"/>
    <w:basedOn w:val="Standard"/>
    <w:next w:val="Standard"/>
    <w:autoRedefine/>
    <w:qFormat/>
    <w:rsid w:val="0010694A"/>
    <w:pPr>
      <w:keepNext/>
      <w:spacing w:after="320" w:line="720" w:lineRule="exact"/>
      <w:outlineLvl w:val="0"/>
    </w:pPr>
    <w:rPr>
      <w:b/>
      <w:spacing w:val="20"/>
      <w:kern w:val="32"/>
      <w:sz w:val="7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4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22C75"/>
    <w:rPr>
      <w:rFonts w:ascii="Verdana" w:hAnsi="Verdana"/>
      <w:b w:val="0"/>
      <w:bCs w:val="0"/>
      <w:i w:val="0"/>
      <w:iCs w:val="0"/>
      <w:sz w:val="20"/>
      <w:szCs w:val="18"/>
    </w:rPr>
  </w:style>
  <w:style w:type="paragraph" w:styleId="Listenabsatz">
    <w:name w:val="List Paragraph"/>
    <w:basedOn w:val="Standard"/>
    <w:uiPriority w:val="34"/>
    <w:qFormat/>
    <w:rsid w:val="00A277C3"/>
    <w:pPr>
      <w:ind w:left="720"/>
      <w:contextualSpacing/>
    </w:pPr>
  </w:style>
  <w:style w:type="paragraph" w:customStyle="1" w:styleId="Aufzaehlung1">
    <w:name w:val="Aufzaehlung 1"/>
    <w:basedOn w:val="Listenabsatz"/>
    <w:autoRedefine/>
    <w:qFormat/>
    <w:rsid w:val="004F5CD2"/>
    <w:pPr>
      <w:tabs>
        <w:tab w:val="clear" w:pos="3289"/>
      </w:tabs>
      <w:spacing w:line="320" w:lineRule="exact"/>
      <w:ind w:left="0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C12A07"/>
    <w:pPr>
      <w:tabs>
        <w:tab w:val="clear" w:pos="3289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A07"/>
    <w:rPr>
      <w:rFonts w:ascii="Verdana" w:hAnsi="Verdana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C12A07"/>
    <w:pPr>
      <w:tabs>
        <w:tab w:val="clear" w:pos="3289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A07"/>
    <w:rPr>
      <w:rFonts w:ascii="Verdana" w:hAnsi="Verdana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pyright">
    <w:name w:val="Copyright"/>
    <w:basedOn w:val="Standard"/>
    <w:autoRedefine/>
    <w:qFormat/>
    <w:rsid w:val="00C12A07"/>
    <w:rPr>
      <w:color w:val="009EE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A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A765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48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48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48B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4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48B7"/>
    <w:rPr>
      <w:rFonts w:ascii="Verdana" w:hAnsi="Verdana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4F60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2629-A2D9-4AAA-AF5B-11D2300E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 Preprint- und Mediadesign GmbH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Neukam</dc:creator>
  <cp:lastModifiedBy>Kahn, Hilke</cp:lastModifiedBy>
  <cp:revision>4</cp:revision>
  <cp:lastPrinted>2018-10-02T09:01:00Z</cp:lastPrinted>
  <dcterms:created xsi:type="dcterms:W3CDTF">2018-08-21T13:16:00Z</dcterms:created>
  <dcterms:modified xsi:type="dcterms:W3CDTF">2018-10-02T09:01:00Z</dcterms:modified>
</cp:coreProperties>
</file>